
<file path=[Content_Types].xml><?xml version="1.0" encoding="utf-8"?>
<Types xmlns="http://schemas.openxmlformats.org/package/2006/content-types">
  <Default Extension="xml" ContentType="application/xml"/>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74"/>
        <w:keepNext/>
        <w:keepLines/>
        <w:pageBreakBefore w:val="0"/>
        <w:widowControl w:val="0"/>
        <w:tabs>
          <w:tab w:val="right" w:pos="9639"/>
        </w:tabs>
        <w:kinsoku/>
        <w:wordWrap/>
        <w:overflowPunct/>
        <w:topLinePunct w:val="0"/>
        <w:autoSpaceDE/>
        <w:autoSpaceDN/>
        <w:bidi w:val="0"/>
        <w:adjustRightInd/>
        <w:spacing w:after="0"/>
        <w:jc w:val="both"/>
        <w:textAlignment w:val="auto"/>
        <w:rPr>
          <w:rFonts w:hint="default" w:eastAsia="宋体"/>
          <w:b/>
          <w:color w:val="auto"/>
          <w:sz w:val="24"/>
          <w:lang w:val="en-US" w:eastAsia="zh-CN"/>
        </w:rPr>
      </w:pPr>
      <w:bookmarkStart w:id="0" w:name="_Hlt450051172"/>
      <w:bookmarkEnd w:id="0"/>
      <w:bookmarkStart w:id="1" w:name="_Hlt449016246"/>
      <w:bookmarkEnd w:id="1"/>
      <w:bookmarkStart w:id="2" w:name="_Hlt448930105"/>
      <w:bookmarkEnd w:id="2"/>
      <w:bookmarkStart w:id="3" w:name="_Hlt450039480"/>
      <w:bookmarkEnd w:id="3"/>
      <w:bookmarkStart w:id="4" w:name="_Hlt450066087"/>
      <w:bookmarkEnd w:id="4"/>
      <w:bookmarkStart w:id="5" w:name="_Hlt450066085"/>
      <w:bookmarkEnd w:id="5"/>
      <w:bookmarkStart w:id="6" w:name="OLE_LINK27"/>
      <w:bookmarkStart w:id="7" w:name="OLE_LINK49"/>
      <w:bookmarkStart w:id="8" w:name="OLE_LINK111"/>
      <w:r>
        <w:rPr>
          <w:b/>
          <w:color w:val="auto"/>
          <w:sz w:val="24"/>
        </w:rPr>
        <w:t xml:space="preserve">3GPP TSG </w:t>
      </w:r>
      <w:r>
        <w:rPr>
          <w:rFonts w:hint="eastAsia"/>
          <w:b/>
          <w:color w:val="auto"/>
          <w:sz w:val="24"/>
          <w:lang w:val="en-US" w:eastAsia="zh-CN"/>
        </w:rPr>
        <w:t>RAN</w:t>
      </w:r>
      <w:r>
        <w:rPr>
          <w:b/>
          <w:color w:val="auto"/>
          <w:sz w:val="24"/>
          <w:lang w:val="en-US" w:eastAsia="zh-CN"/>
        </w:rPr>
        <w:t xml:space="preserve"> WG4</w:t>
      </w:r>
      <w:r>
        <w:rPr>
          <w:b/>
          <w:color w:val="auto"/>
          <w:sz w:val="24"/>
        </w:rPr>
        <w:t xml:space="preserve"> Meeting #</w:t>
      </w:r>
      <w:r>
        <w:rPr>
          <w:rFonts w:hint="eastAsia"/>
          <w:b/>
          <w:color w:val="auto"/>
          <w:sz w:val="24"/>
          <w:lang w:val="en-US" w:eastAsia="zh-CN"/>
        </w:rPr>
        <w:fldChar w:fldCharType="begin"/>
      </w:r>
      <w:r>
        <w:rPr>
          <w:rFonts w:hint="eastAsia"/>
          <w:b/>
          <w:color w:val="auto"/>
          <w:sz w:val="24"/>
          <w:lang w:val="en-US" w:eastAsia="zh-CN"/>
        </w:rPr>
        <w:instrText xml:space="preserve"> DOCPROPERTY  MtgSeq  \* MERGEFORMAT </w:instrText>
      </w:r>
      <w:r>
        <w:rPr>
          <w:rFonts w:hint="eastAsia"/>
          <w:b/>
          <w:color w:val="auto"/>
          <w:sz w:val="24"/>
          <w:lang w:val="en-US" w:eastAsia="zh-CN"/>
        </w:rPr>
        <w:fldChar w:fldCharType="separate"/>
      </w:r>
      <w:r>
        <w:rPr>
          <w:rFonts w:hint="eastAsia"/>
          <w:b/>
          <w:color w:val="auto"/>
          <w:sz w:val="24"/>
          <w:lang w:val="en-US" w:eastAsia="zh-CN"/>
        </w:rPr>
        <w:t>11</w:t>
      </w:r>
      <w:r>
        <w:rPr>
          <w:rFonts w:hint="eastAsia"/>
          <w:b/>
          <w:color w:val="auto"/>
          <w:sz w:val="24"/>
          <w:lang w:val="en-US" w:eastAsia="zh-CN"/>
        </w:rPr>
        <w:fldChar w:fldCharType="end"/>
      </w:r>
      <w:r>
        <w:rPr>
          <w:rFonts w:hint="eastAsia"/>
          <w:b/>
          <w:color w:val="auto"/>
          <w:sz w:val="24"/>
          <w:lang w:val="en-US" w:eastAsia="zh-CN"/>
        </w:rPr>
        <w:t>7</w:t>
      </w:r>
      <w:r>
        <w:rPr>
          <w:b/>
          <w:color w:val="auto"/>
          <w:sz w:val="24"/>
        </w:rPr>
        <w:tab/>
      </w:r>
      <w:r>
        <w:rPr>
          <w:rFonts w:hint="eastAsia"/>
          <w:b/>
          <w:color w:val="auto"/>
          <w:sz w:val="24"/>
        </w:rPr>
        <w:t xml:space="preserve">R4-2521276 </w:t>
      </w:r>
    </w:p>
    <w:p>
      <w:pPr>
        <w:pStyle w:val="74"/>
        <w:keepNext/>
        <w:keepLines/>
        <w:pageBreakBefore w:val="0"/>
        <w:widowControl w:val="0"/>
        <w:tabs>
          <w:tab w:val="right" w:pos="9639"/>
        </w:tabs>
        <w:kinsoku/>
        <w:wordWrap/>
        <w:overflowPunct/>
        <w:topLinePunct w:val="0"/>
        <w:autoSpaceDE/>
        <w:autoSpaceDN/>
        <w:bidi w:val="0"/>
        <w:adjustRightInd/>
        <w:spacing w:after="0"/>
        <w:jc w:val="both"/>
        <w:textAlignment w:val="auto"/>
        <w:rPr>
          <w:b/>
          <w:color w:val="auto"/>
          <w:sz w:val="24"/>
          <w:lang w:eastAsia="en-GB"/>
        </w:rPr>
      </w:pPr>
      <w:r>
        <w:rPr>
          <w:rFonts w:hint="eastAsia" w:eastAsia="宋体"/>
          <w:b/>
          <w:color w:val="auto"/>
          <w:sz w:val="24"/>
          <w:lang w:val="en-US" w:eastAsia="zh-CN"/>
        </w:rPr>
        <w:t>Dallas</w:t>
      </w:r>
      <w:r>
        <w:rPr>
          <w:b/>
          <w:color w:val="auto"/>
          <w:sz w:val="24"/>
        </w:rPr>
        <w:t xml:space="preserve">, </w:t>
      </w:r>
      <w:r>
        <w:rPr>
          <w:rFonts w:hint="eastAsia" w:eastAsia="宋体"/>
          <w:b/>
          <w:color w:val="auto"/>
          <w:sz w:val="24"/>
          <w:lang w:val="en-US" w:eastAsia="zh-CN"/>
        </w:rPr>
        <w:t>USA.</w:t>
      </w:r>
      <w:r>
        <w:rPr>
          <w:rFonts w:hint="eastAsia"/>
          <w:b/>
          <w:color w:val="auto"/>
          <w:sz w:val="24"/>
          <w:lang w:val="en-US" w:eastAsia="zh-CN"/>
        </w:rPr>
        <w:t>, 17</w:t>
      </w:r>
      <w:r>
        <w:rPr>
          <w:b/>
          <w:color w:val="auto"/>
          <w:sz w:val="24"/>
          <w:lang w:val="en-US" w:eastAsia="zh-CN"/>
        </w:rPr>
        <w:t>th</w:t>
      </w:r>
      <w:r>
        <w:rPr>
          <w:rFonts w:hint="eastAsia"/>
          <w:b/>
          <w:color w:val="auto"/>
          <w:sz w:val="24"/>
          <w:lang w:val="en-US" w:eastAsia="zh-CN"/>
        </w:rPr>
        <w:t xml:space="preserve"> </w:t>
      </w:r>
      <w:r>
        <w:rPr>
          <w:b/>
          <w:color w:val="auto"/>
          <w:sz w:val="24"/>
          <w:lang w:eastAsia="zh-CN"/>
        </w:rPr>
        <w:t xml:space="preserve">– </w:t>
      </w:r>
      <w:r>
        <w:rPr>
          <w:rFonts w:hint="eastAsia"/>
          <w:b/>
          <w:color w:val="auto"/>
          <w:sz w:val="24"/>
          <w:lang w:val="en-US" w:eastAsia="zh-CN"/>
        </w:rPr>
        <w:t>21st</w:t>
      </w:r>
      <w:r>
        <w:rPr>
          <w:b/>
          <w:color w:val="auto"/>
          <w:sz w:val="24"/>
          <w:lang w:eastAsia="zh-CN"/>
        </w:rPr>
        <w:t xml:space="preserve">, </w:t>
      </w:r>
      <w:r>
        <w:rPr>
          <w:rFonts w:hint="eastAsia"/>
          <w:b/>
          <w:color w:val="auto"/>
          <w:sz w:val="24"/>
          <w:lang w:val="en-US" w:eastAsia="zh-CN"/>
        </w:rPr>
        <w:t xml:space="preserve">Nov. </w:t>
      </w:r>
      <w:r>
        <w:rPr>
          <w:b/>
          <w:color w:val="auto"/>
          <w:sz w:val="24"/>
          <w:lang w:eastAsia="zh-CN"/>
        </w:rPr>
        <w:t>202</w:t>
      </w:r>
      <w:r>
        <w:rPr>
          <w:rFonts w:hint="eastAsia"/>
          <w:b/>
          <w:color w:val="auto"/>
          <w:sz w:val="24"/>
          <w:lang w:val="en-US" w:eastAsia="zh-CN"/>
        </w:rPr>
        <w:t>5</w:t>
      </w:r>
    </w:p>
    <w:bookmarkEnd w:id="6"/>
    <w:bookmarkEnd w:id="7"/>
    <w:bookmarkEnd w:id="8"/>
    <w:p>
      <w:pPr>
        <w:pStyle w:val="18"/>
        <w:keepNext w:val="0"/>
        <w:keepLines w:val="0"/>
        <w:pageBreakBefore w:val="0"/>
        <w:widowControl w:val="0"/>
        <w:tabs>
          <w:tab w:val="right" w:pos="10440"/>
          <w:tab w:val="right" w:pos="13323"/>
          <w:tab w:val="clear" w:pos="4680"/>
          <w:tab w:val="clear" w:pos="9360"/>
        </w:tabs>
        <w:kinsoku/>
        <w:wordWrap/>
        <w:overflowPunct/>
        <w:topLinePunct w:val="0"/>
        <w:autoSpaceDE/>
        <w:autoSpaceDN/>
        <w:bidi w:val="0"/>
        <w:adjustRightInd/>
        <w:snapToGrid/>
        <w:spacing w:beforeLines="0" w:after="0" w:afterLines="0"/>
        <w:textAlignment w:val="auto"/>
        <w:outlineLvl w:val="0"/>
        <w:rPr>
          <w:rFonts w:hint="default" w:ascii="Arial" w:hAnsi="Arial" w:cs="Arial"/>
          <w:b/>
          <w:color w:val="auto"/>
          <w:sz w:val="24"/>
          <w:szCs w:val="24"/>
          <w:highlight w:val="none"/>
          <w:lang w:val="en-US" w:eastAsia="zh-CN"/>
        </w:rPr>
      </w:pPr>
    </w:p>
    <w:p>
      <w:pPr>
        <w:keepNext w:val="0"/>
        <w:keepLines w:val="0"/>
        <w:pageBreakBefore w:val="0"/>
        <w:widowControl w:val="0"/>
        <w:tabs>
          <w:tab w:val="left" w:pos="1985"/>
        </w:tabs>
        <w:kinsoku/>
        <w:wordWrap/>
        <w:topLinePunct w:val="0"/>
        <w:bidi w:val="0"/>
        <w:snapToGrid/>
        <w:spacing w:before="120" w:after="120"/>
        <w:ind w:left="1980" w:hanging="1980"/>
        <w:outlineLvl w:val="0"/>
        <w:rPr>
          <w:rFonts w:hint="default" w:ascii="Arial" w:hAnsi="Arial" w:eastAsia="宋体"/>
          <w:b/>
          <w:sz w:val="24"/>
          <w:highlight w:val="none"/>
          <w:lang w:val="en-US" w:eastAsia="zh-CN"/>
        </w:rPr>
      </w:pPr>
      <w:r>
        <w:rPr>
          <w:rFonts w:ascii="Arial" w:hAnsi="Arial"/>
          <w:b/>
          <w:sz w:val="24"/>
          <w:highlight w:val="none"/>
          <w:lang w:val="pt-BR"/>
        </w:rPr>
        <w:t xml:space="preserve">Title: </w:t>
      </w:r>
      <w:r>
        <w:rPr>
          <w:rFonts w:ascii="Arial" w:hAnsi="Arial"/>
          <w:b/>
          <w:sz w:val="24"/>
          <w:highlight w:val="none"/>
          <w:lang w:val="pt-BR"/>
        </w:rPr>
        <w:tab/>
      </w:r>
      <w:r>
        <w:rPr>
          <w:rFonts w:hint="eastAsia" w:ascii="Arial" w:hAnsi="Arial"/>
          <w:b/>
          <w:sz w:val="24"/>
          <w:highlight w:val="none"/>
          <w:lang w:val="en-US" w:eastAsia="zh-CN"/>
        </w:rPr>
        <w:t>On R20 low-low band CA via switching</w:t>
      </w:r>
    </w:p>
    <w:p>
      <w:pPr>
        <w:keepNext w:val="0"/>
        <w:keepLines w:val="0"/>
        <w:pageBreakBefore w:val="0"/>
        <w:widowControl w:val="0"/>
        <w:tabs>
          <w:tab w:val="left" w:pos="1985"/>
        </w:tabs>
        <w:kinsoku/>
        <w:wordWrap/>
        <w:topLinePunct w:val="0"/>
        <w:bidi w:val="0"/>
        <w:snapToGrid/>
        <w:spacing w:before="120" w:after="120"/>
        <w:outlineLvl w:val="0"/>
        <w:rPr>
          <w:rStyle w:val="61"/>
          <w:rFonts w:hint="default" w:eastAsia="宋体"/>
          <w:b/>
          <w:highlight w:val="none"/>
          <w:lang w:val="en-US" w:eastAsia="zh-CN"/>
        </w:rPr>
      </w:pPr>
      <w:r>
        <w:rPr>
          <w:rFonts w:ascii="Arial" w:hAnsi="Arial"/>
          <w:b/>
          <w:sz w:val="24"/>
          <w:highlight w:val="none"/>
        </w:rPr>
        <w:t xml:space="preserve">Source: </w:t>
      </w:r>
      <w:r>
        <w:rPr>
          <w:rFonts w:ascii="Arial" w:hAnsi="Arial"/>
          <w:b/>
          <w:sz w:val="24"/>
          <w:highlight w:val="none"/>
        </w:rPr>
        <w:tab/>
      </w:r>
      <w:r>
        <w:rPr>
          <w:rStyle w:val="61"/>
          <w:rFonts w:hint="eastAsia"/>
          <w:b/>
          <w:highlight w:val="none"/>
        </w:rPr>
        <w:t>ZTE</w:t>
      </w:r>
      <w:r>
        <w:rPr>
          <w:rStyle w:val="61"/>
          <w:rFonts w:hint="eastAsia"/>
          <w:b/>
          <w:highlight w:val="none"/>
          <w:lang w:val="en-US" w:eastAsia="zh-CN"/>
        </w:rPr>
        <w:t xml:space="preserve"> Corporation, Sanechips</w:t>
      </w:r>
    </w:p>
    <w:p>
      <w:pPr>
        <w:keepNext w:val="0"/>
        <w:keepLines w:val="0"/>
        <w:pageBreakBefore w:val="0"/>
        <w:widowControl w:val="0"/>
        <w:tabs>
          <w:tab w:val="left" w:pos="1985"/>
        </w:tabs>
        <w:kinsoku/>
        <w:wordWrap/>
        <w:topLinePunct w:val="0"/>
        <w:bidi w:val="0"/>
        <w:snapToGrid/>
        <w:spacing w:before="120" w:after="120"/>
        <w:outlineLvl w:val="0"/>
        <w:rPr>
          <w:rStyle w:val="61"/>
          <w:rFonts w:hint="default" w:eastAsia="宋体"/>
          <w:b/>
          <w:highlight w:val="none"/>
          <w:lang w:val="en-US" w:eastAsia="zh-CN"/>
        </w:rPr>
      </w:pPr>
      <w:r>
        <w:rPr>
          <w:rFonts w:ascii="Arial" w:hAnsi="Arial"/>
          <w:b/>
          <w:sz w:val="24"/>
          <w:highlight w:val="none"/>
          <w:lang w:val="pt-BR"/>
        </w:rPr>
        <w:t>Agenda item:</w:t>
      </w:r>
      <w:r>
        <w:rPr>
          <w:rFonts w:ascii="Arial" w:hAnsi="Arial"/>
          <w:b/>
          <w:sz w:val="24"/>
          <w:highlight w:val="none"/>
          <w:lang w:val="pt-BR"/>
        </w:rPr>
        <w:tab/>
      </w:r>
      <w:r>
        <w:rPr>
          <w:rFonts w:hint="eastAsia" w:ascii="Arial" w:hAnsi="Arial"/>
          <w:b/>
          <w:sz w:val="24"/>
          <w:highlight w:val="none"/>
          <w:lang w:val="en-US" w:eastAsia="zh-CN"/>
        </w:rPr>
        <w:t>7.8.3</w:t>
      </w:r>
    </w:p>
    <w:p>
      <w:pPr>
        <w:keepNext w:val="0"/>
        <w:keepLines w:val="0"/>
        <w:pageBreakBefore w:val="0"/>
        <w:widowControl w:val="0"/>
        <w:tabs>
          <w:tab w:val="left" w:pos="1985"/>
        </w:tabs>
        <w:kinsoku/>
        <w:wordWrap/>
        <w:topLinePunct w:val="0"/>
        <w:bidi w:val="0"/>
        <w:snapToGrid/>
        <w:spacing w:before="120" w:after="120"/>
        <w:ind w:left="1980" w:hanging="1980"/>
        <w:outlineLvl w:val="0"/>
        <w:rPr>
          <w:rStyle w:val="61"/>
          <w:b/>
          <w:highlight w:val="none"/>
          <w:lang w:val="pt-BR"/>
        </w:rPr>
      </w:pPr>
      <w:r>
        <w:rPr>
          <w:rFonts w:ascii="Arial" w:hAnsi="Arial"/>
          <w:b/>
          <w:sz w:val="24"/>
          <w:highlight w:val="none"/>
          <w:lang w:val="pt-BR"/>
        </w:rPr>
        <w:t>Document for:</w:t>
      </w:r>
      <w:r>
        <w:rPr>
          <w:rFonts w:ascii="Arial" w:hAnsi="Arial"/>
          <w:b/>
          <w:sz w:val="24"/>
          <w:highlight w:val="none"/>
          <w:lang w:val="pt-BR"/>
        </w:rPr>
        <w:tab/>
      </w:r>
      <w:r>
        <w:rPr>
          <w:rFonts w:hint="eastAsia" w:ascii="Arial" w:hAnsi="Arial"/>
          <w:b/>
          <w:sz w:val="24"/>
          <w:highlight w:val="none"/>
        </w:rPr>
        <w:t>Approval</w:t>
      </w:r>
    </w:p>
    <w:p>
      <w:pPr>
        <w:keepNext w:val="0"/>
        <w:keepLines w:val="0"/>
        <w:pageBreakBefore w:val="0"/>
        <w:widowControl w:val="0"/>
        <w:pBdr>
          <w:top w:val="single" w:color="auto" w:sz="12" w:space="3"/>
        </w:pBdr>
        <w:kinsoku/>
        <w:wordWrap/>
        <w:topLinePunct w:val="0"/>
        <w:bidi w:val="0"/>
        <w:snapToGrid/>
        <w:spacing w:beforeLines="0" w:after="120" w:afterLines="0"/>
        <w:jc w:val="left"/>
        <w:outlineLvl w:val="0"/>
        <w:rPr>
          <w:b/>
          <w:kern w:val="0"/>
          <w:sz w:val="24"/>
          <w:szCs w:val="24"/>
          <w:highlight w:val="none"/>
        </w:rPr>
      </w:pPr>
      <w:r>
        <w:rPr>
          <w:b/>
          <w:kern w:val="0"/>
          <w:sz w:val="24"/>
          <w:szCs w:val="24"/>
          <w:highlight w:val="none"/>
        </w:rPr>
        <w:t>1 Introduction</w:t>
      </w:r>
    </w:p>
    <w:p>
      <w:pPr>
        <w:keepNext w:val="0"/>
        <w:keepLines w:val="0"/>
        <w:pageBreakBefore w:val="0"/>
        <w:widowControl w:val="0"/>
        <w:tabs>
          <w:tab w:val="left" w:pos="2127"/>
        </w:tabs>
        <w:kinsoku/>
        <w:wordWrap/>
        <w:overflowPunct/>
        <w:topLinePunct w:val="0"/>
        <w:autoSpaceDE/>
        <w:autoSpaceDN/>
        <w:bidi w:val="0"/>
        <w:adjustRightInd/>
        <w:snapToGrid/>
        <w:spacing w:before="120" w:beforeLines="0" w:after="120" w:afterLines="0" w:line="260" w:lineRule="auto"/>
        <w:ind w:left="0" w:firstLine="0"/>
        <w:jc w:val="both"/>
        <w:textAlignment w:val="auto"/>
        <w:outlineLvl w:val="9"/>
        <w:rPr>
          <w:rFonts w:hint="default" w:cs="Times New Roman"/>
          <w:sz w:val="20"/>
          <w:szCs w:val="20"/>
          <w:lang w:val="en-US" w:eastAsia="zh-CN"/>
        </w:rPr>
      </w:pPr>
      <w:r>
        <w:rPr>
          <w:rFonts w:hint="eastAsia" w:cs="Times New Roman"/>
          <w:sz w:val="20"/>
          <w:szCs w:val="20"/>
          <w:lang w:val="en-US" w:eastAsia="zh-CN"/>
        </w:rPr>
        <w:t xml:space="preserve">In RAN #109 meeting, a new WID </w:t>
      </w:r>
      <w:r>
        <w:rPr>
          <w:rFonts w:hint="eastAsia" w:ascii="Times New Roman" w:hAnsi="Times New Roman" w:eastAsia="宋体" w:cs="Times New Roman"/>
          <w:b w:val="0"/>
          <w:kern w:val="2"/>
          <w:sz w:val="20"/>
          <w:szCs w:val="20"/>
          <w:lang w:val="en-US" w:eastAsia="zh-CN" w:bidi="ar-SA"/>
        </w:rPr>
        <w:t>on enhancement of low NR band carrier aggregation via switching</w:t>
      </w:r>
      <w:r>
        <w:rPr>
          <w:rFonts w:hint="eastAsia" w:cs="Times New Roman"/>
          <w:b w:val="0"/>
          <w:kern w:val="2"/>
          <w:sz w:val="20"/>
          <w:szCs w:val="20"/>
          <w:lang w:val="en-US" w:eastAsia="zh-CN" w:bidi="ar-SA"/>
        </w:rPr>
        <w:t xml:space="preserve"> </w:t>
      </w:r>
      <w:r>
        <w:rPr>
          <w:rFonts w:hint="eastAsia" w:cs="Times New Roman"/>
          <w:sz w:val="20"/>
          <w:szCs w:val="20"/>
          <w:lang w:val="en-US" w:eastAsia="zh-CN"/>
        </w:rPr>
        <w:t xml:space="preserve">was approved. </w:t>
      </w:r>
    </w:p>
    <w:p>
      <w:pPr>
        <w:keepNext w:val="0"/>
        <w:keepLines w:val="0"/>
        <w:pageBreakBefore w:val="0"/>
        <w:widowControl w:val="0"/>
        <w:tabs>
          <w:tab w:val="left" w:pos="2127"/>
        </w:tabs>
        <w:kinsoku/>
        <w:wordWrap/>
        <w:overflowPunct/>
        <w:topLinePunct w:val="0"/>
        <w:autoSpaceDE/>
        <w:autoSpaceDN/>
        <w:bidi w:val="0"/>
        <w:adjustRightInd/>
        <w:snapToGrid/>
        <w:spacing w:before="120" w:beforeLines="0" w:after="120" w:afterLines="0" w:line="260" w:lineRule="auto"/>
        <w:ind w:left="0" w:firstLine="0"/>
        <w:jc w:val="both"/>
        <w:textAlignment w:val="auto"/>
        <w:outlineLvl w:val="9"/>
        <w:rPr>
          <w:rFonts w:hint="eastAsia" w:cs="Times New Roman"/>
          <w:sz w:val="20"/>
          <w:szCs w:val="20"/>
          <w:lang w:val="en-US" w:eastAsia="zh-CN"/>
        </w:rPr>
      </w:pPr>
      <w:r>
        <w:rPr>
          <w:rFonts w:hint="eastAsia" w:cs="Times New Roman"/>
          <w:sz w:val="20"/>
          <w:szCs w:val="20"/>
          <w:lang w:val="en-US" w:eastAsia="zh-CN"/>
        </w:rPr>
        <w:t>The objectives are shown below:</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numPr>
                <w:ilvl w:val="0"/>
                <w:numId w:val="7"/>
              </w:numPr>
              <w:overflowPunct w:val="0"/>
              <w:autoSpaceDE w:val="0"/>
              <w:autoSpaceDN w:val="0"/>
              <w:adjustRightInd w:val="0"/>
              <w:spacing w:after="0"/>
              <w:ind w:left="440" w:hanging="440" w:firstLineChars="0"/>
              <w:textAlignment w:val="baseline"/>
              <w:rPr>
                <w:rFonts w:ascii="Times New Roman" w:hAnsi="Times New Roman" w:eastAsia="等线" w:cs="Times New Roman"/>
                <w:color w:val="000000"/>
                <w:sz w:val="20"/>
                <w:szCs w:val="20"/>
                <w:lang w:val="en-GB" w:eastAsia="zh-CN" w:bidi="ar-SA"/>
              </w:rPr>
            </w:pPr>
            <w:r>
              <w:rPr>
                <w:rFonts w:ascii="Times New Roman" w:hAnsi="Times New Roman" w:eastAsia="等线" w:cs="Times New Roman"/>
                <w:color w:val="000000"/>
                <w:sz w:val="20"/>
                <w:szCs w:val="20"/>
                <w:lang w:val="en-GB" w:eastAsia="zh-CN" w:bidi="ar-SA"/>
              </w:rPr>
              <w:t xml:space="preserve">Specify the necessary UE RF and RRM core requirements to allow switching between {case 1, case </w:t>
            </w:r>
            <w:r>
              <w:rPr>
                <w:rFonts w:hint="eastAsia" w:ascii="Times New Roman" w:hAnsi="Times New Roman" w:eastAsia="等线" w:cs="Times New Roman"/>
                <w:color w:val="000000"/>
                <w:sz w:val="20"/>
                <w:szCs w:val="20"/>
                <w:lang w:val="en-GB" w:eastAsia="zh-CN" w:bidi="ar-SA"/>
              </w:rPr>
              <w:t>3</w:t>
            </w:r>
            <w:r>
              <w:rPr>
                <w:rFonts w:ascii="Times New Roman" w:hAnsi="Times New Roman" w:eastAsia="等线" w:cs="Times New Roman"/>
                <w:color w:val="000000"/>
                <w:sz w:val="20"/>
                <w:szCs w:val="20"/>
                <w:lang w:val="en-GB" w:eastAsia="zh-CN" w:bidi="ar-SA"/>
              </w:rPr>
              <w:t>} to enable low band carrier aggregation via switching for the dual downlink scenario between FDD band and SDL band [RAN4].</w:t>
            </w:r>
          </w:p>
          <w:p>
            <w:pPr>
              <w:numPr>
                <w:ilvl w:val="1"/>
                <w:numId w:val="7"/>
              </w:numPr>
              <w:overflowPunct w:val="0"/>
              <w:autoSpaceDE w:val="0"/>
              <w:autoSpaceDN w:val="0"/>
              <w:adjustRightInd w:val="0"/>
              <w:spacing w:after="0"/>
              <w:ind w:left="993" w:firstLine="420" w:firstLineChars="0"/>
              <w:textAlignment w:val="baseline"/>
              <w:rPr>
                <w:rFonts w:ascii="Times New Roman" w:hAnsi="Times New Roman" w:eastAsia="等线" w:cs="Times New Roman"/>
                <w:color w:val="000000"/>
                <w:sz w:val="20"/>
                <w:szCs w:val="20"/>
                <w:lang w:val="en-GB" w:eastAsia="en-GB" w:bidi="ar-SA"/>
              </w:rPr>
            </w:pPr>
            <w:r>
              <w:rPr>
                <w:rFonts w:ascii="Times New Roman" w:hAnsi="Times New Roman" w:eastAsia="等线" w:cs="Times New Roman"/>
                <w:color w:val="000000"/>
                <w:sz w:val="20"/>
                <w:szCs w:val="20"/>
                <w:lang w:val="en-GB" w:eastAsia="en-GB" w:bidi="ar-SA"/>
              </w:rPr>
              <w:t>Case 1: Tx/Rx on FDD carrier 1 and no Rx on SDL carrier 2.</w:t>
            </w:r>
          </w:p>
          <w:p>
            <w:pPr>
              <w:numPr>
                <w:ilvl w:val="1"/>
                <w:numId w:val="7"/>
              </w:numPr>
              <w:overflowPunct w:val="0"/>
              <w:autoSpaceDE w:val="0"/>
              <w:autoSpaceDN w:val="0"/>
              <w:adjustRightInd w:val="0"/>
              <w:spacing w:after="0"/>
              <w:ind w:left="993" w:firstLine="420" w:firstLineChars="0"/>
              <w:textAlignment w:val="baseline"/>
              <w:rPr>
                <w:rFonts w:ascii="Times New Roman" w:hAnsi="Times New Roman" w:eastAsia="等线" w:cs="Times New Roman"/>
                <w:color w:val="000000"/>
                <w:sz w:val="20"/>
                <w:szCs w:val="20"/>
                <w:lang w:val="en-GB" w:eastAsia="en-GB" w:bidi="ar-SA"/>
              </w:rPr>
            </w:pPr>
            <w:r>
              <w:rPr>
                <w:rFonts w:ascii="Times New Roman" w:hAnsi="Times New Roman" w:eastAsia="等线" w:cs="Times New Roman"/>
                <w:color w:val="000000"/>
                <w:sz w:val="20"/>
                <w:szCs w:val="20"/>
                <w:lang w:val="en-GB" w:eastAsia="en-GB" w:bidi="ar-SA"/>
              </w:rPr>
              <w:t xml:space="preserve">Case </w:t>
            </w:r>
            <w:r>
              <w:rPr>
                <w:rFonts w:hint="eastAsia" w:ascii="Times New Roman" w:hAnsi="Times New Roman" w:eastAsia="等线" w:cs="Times New Roman"/>
                <w:color w:val="000000"/>
                <w:sz w:val="20"/>
                <w:szCs w:val="20"/>
                <w:lang w:val="en-GB" w:eastAsia="zh-CN" w:bidi="ar-SA"/>
              </w:rPr>
              <w:t>3</w:t>
            </w:r>
            <w:r>
              <w:rPr>
                <w:rFonts w:ascii="Times New Roman" w:hAnsi="Times New Roman" w:eastAsia="等线" w:cs="Times New Roman"/>
                <w:color w:val="000000"/>
                <w:sz w:val="20"/>
                <w:szCs w:val="20"/>
                <w:lang w:val="en-GB" w:eastAsia="en-GB" w:bidi="ar-SA"/>
              </w:rPr>
              <w:t>: Rx on both FDD carrier 1 and SDL carrier 2 and no Tx on FDD carrier 1.</w:t>
            </w:r>
          </w:p>
          <w:p>
            <w:pPr>
              <w:numPr>
                <w:ilvl w:val="1"/>
                <w:numId w:val="7"/>
              </w:numPr>
              <w:overflowPunct w:val="0"/>
              <w:autoSpaceDE w:val="0"/>
              <w:autoSpaceDN w:val="0"/>
              <w:adjustRightInd w:val="0"/>
              <w:spacing w:after="0"/>
              <w:ind w:left="993" w:firstLine="420" w:firstLineChars="0"/>
              <w:textAlignment w:val="baseline"/>
              <w:rPr>
                <w:rFonts w:ascii="Times New Roman" w:hAnsi="Times New Roman" w:eastAsia="等线" w:cs="Times New Roman"/>
                <w:color w:val="000000"/>
                <w:sz w:val="20"/>
                <w:szCs w:val="20"/>
                <w:lang w:val="en-GB" w:eastAsia="en-GB" w:bidi="ar-SA"/>
              </w:rPr>
            </w:pPr>
            <w:r>
              <w:rPr>
                <w:rFonts w:hint="eastAsia" w:ascii="Times New Roman" w:hAnsi="Times New Roman" w:eastAsia="等线" w:cs="Times New Roman"/>
                <w:color w:val="000000"/>
                <w:sz w:val="20"/>
                <w:szCs w:val="20"/>
                <w:lang w:val="en-GB" w:eastAsia="en-GB" w:bidi="ar-SA"/>
              </w:rPr>
              <w:t>E</w:t>
            </w:r>
            <w:r>
              <w:rPr>
                <w:rFonts w:ascii="Times New Roman" w:hAnsi="Times New Roman" w:eastAsia="等线" w:cs="Times New Roman"/>
                <w:color w:val="000000"/>
                <w:sz w:val="20"/>
                <w:szCs w:val="20"/>
                <w:lang w:val="en-GB" w:eastAsia="en-GB" w:bidi="ar-SA"/>
              </w:rPr>
              <w:t>xample band combinations: CA_n12A-n29A and CA_n28</w:t>
            </w:r>
            <w:r>
              <w:rPr>
                <w:rFonts w:hint="eastAsia" w:ascii="Times New Roman" w:hAnsi="Times New Roman" w:eastAsia="等线" w:cs="Times New Roman"/>
                <w:color w:val="000000"/>
                <w:sz w:val="20"/>
                <w:szCs w:val="20"/>
                <w:lang w:val="en-GB" w:eastAsia="zh-CN" w:bidi="ar-SA"/>
              </w:rPr>
              <w:t>A</w:t>
            </w:r>
            <w:r>
              <w:rPr>
                <w:rFonts w:ascii="Times New Roman" w:hAnsi="Times New Roman" w:eastAsia="等线" w:cs="Times New Roman"/>
                <w:color w:val="000000"/>
                <w:sz w:val="20"/>
                <w:szCs w:val="20"/>
                <w:lang w:val="en-GB" w:eastAsia="en-GB" w:bidi="ar-SA"/>
              </w:rPr>
              <w:t>-n67</w:t>
            </w:r>
            <w:r>
              <w:rPr>
                <w:rFonts w:hint="eastAsia" w:ascii="Times New Roman" w:hAnsi="Times New Roman" w:eastAsia="等线" w:cs="Times New Roman"/>
                <w:color w:val="000000"/>
                <w:sz w:val="20"/>
                <w:szCs w:val="20"/>
                <w:lang w:val="en-GB" w:eastAsia="zh-CN" w:bidi="ar-SA"/>
              </w:rPr>
              <w:t>A</w:t>
            </w:r>
            <w:r>
              <w:rPr>
                <w:rFonts w:ascii="Times New Roman" w:hAnsi="Times New Roman" w:eastAsia="等线" w:cs="Times New Roman"/>
                <w:color w:val="000000"/>
                <w:sz w:val="20"/>
                <w:szCs w:val="20"/>
                <w:lang w:val="en-GB" w:eastAsia="en-GB" w:bidi="ar-SA"/>
              </w:rPr>
              <w:t>, additional FDD+SDL band combinations can be added in the specific basket WI after this WI is completed.</w:t>
            </w:r>
          </w:p>
          <w:p>
            <w:pPr>
              <w:numPr>
                <w:ilvl w:val="1"/>
                <w:numId w:val="7"/>
              </w:numPr>
              <w:overflowPunct w:val="0"/>
              <w:autoSpaceDE w:val="0"/>
              <w:autoSpaceDN w:val="0"/>
              <w:adjustRightInd w:val="0"/>
              <w:spacing w:after="0"/>
              <w:ind w:left="993" w:firstLine="420" w:firstLineChars="0"/>
              <w:textAlignment w:val="baseline"/>
              <w:rPr>
                <w:rFonts w:ascii="Times New Roman" w:hAnsi="Times New Roman" w:eastAsia="等线" w:cs="Times New Roman"/>
                <w:color w:val="000000"/>
                <w:sz w:val="20"/>
                <w:szCs w:val="20"/>
                <w:lang w:val="en-GB" w:eastAsia="en-GB" w:bidi="ar-SA"/>
              </w:rPr>
            </w:pPr>
            <w:r>
              <w:rPr>
                <w:rFonts w:ascii="Times New Roman" w:hAnsi="Times New Roman" w:eastAsia="等线" w:cs="Times New Roman"/>
                <w:color w:val="000000"/>
                <w:sz w:val="20"/>
                <w:szCs w:val="20"/>
                <w:lang w:val="en-GB" w:eastAsia="en-GB" w:bidi="ar-SA"/>
              </w:rPr>
              <w:t>Reuse the time mask requirements defined in Rel-19 for low-band CA via switching as much as possible</w:t>
            </w:r>
          </w:p>
          <w:p>
            <w:pPr>
              <w:numPr>
                <w:ilvl w:val="1"/>
                <w:numId w:val="7"/>
              </w:numPr>
              <w:overflowPunct w:val="0"/>
              <w:autoSpaceDE w:val="0"/>
              <w:autoSpaceDN w:val="0"/>
              <w:adjustRightInd w:val="0"/>
              <w:spacing w:after="0"/>
              <w:ind w:left="993" w:firstLine="420" w:firstLineChars="0"/>
              <w:textAlignment w:val="baseline"/>
              <w:rPr>
                <w:rFonts w:ascii="Times New Roman" w:hAnsi="Times New Roman" w:eastAsia="等线" w:cs="Times New Roman"/>
                <w:color w:val="000000"/>
                <w:sz w:val="20"/>
                <w:szCs w:val="20"/>
                <w:lang w:val="en-GB" w:eastAsia="en-GB" w:bidi="ar-SA"/>
              </w:rPr>
            </w:pPr>
            <w:r>
              <w:rPr>
                <w:rFonts w:hint="eastAsia" w:ascii="Times New Roman" w:hAnsi="Times New Roman" w:eastAsia="等线" w:cs="Times New Roman"/>
                <w:color w:val="000000"/>
                <w:sz w:val="20"/>
                <w:szCs w:val="20"/>
                <w:lang w:val="en-GB" w:eastAsia="zh-CN" w:bidi="ar-SA"/>
              </w:rPr>
              <w:t xml:space="preserve">Note: Case 2 is specified in Rel-19 WID of </w:t>
            </w:r>
            <w:r>
              <w:rPr>
                <w:rFonts w:ascii="Times New Roman" w:hAnsi="Times New Roman" w:eastAsia="等线" w:cs="Times New Roman"/>
                <w:color w:val="000000"/>
                <w:sz w:val="20"/>
                <w:szCs w:val="20"/>
                <w:lang w:val="en-GB" w:eastAsia="zh-CN" w:bidi="ar-SA"/>
              </w:rPr>
              <w:t>NR_LBCA_Sw</w:t>
            </w:r>
          </w:p>
          <w:p>
            <w:pPr>
              <w:numPr>
                <w:ilvl w:val="0"/>
                <w:numId w:val="7"/>
              </w:numPr>
              <w:overflowPunct w:val="0"/>
              <w:autoSpaceDE w:val="0"/>
              <w:autoSpaceDN w:val="0"/>
              <w:adjustRightInd w:val="0"/>
              <w:spacing w:after="0"/>
              <w:ind w:left="440" w:hanging="440" w:firstLineChars="0"/>
              <w:textAlignment w:val="baseline"/>
              <w:rPr>
                <w:rFonts w:ascii="Times New Roman" w:hAnsi="Times New Roman" w:eastAsia="等线" w:cs="Times New Roman"/>
                <w:color w:val="000000"/>
                <w:sz w:val="20"/>
                <w:szCs w:val="20"/>
                <w:lang w:val="en-GB" w:eastAsia="zh-CN" w:bidi="ar-SA"/>
              </w:rPr>
            </w:pPr>
            <w:r>
              <w:rPr>
                <w:rFonts w:ascii="Times New Roman" w:hAnsi="Times New Roman" w:eastAsia="等线" w:cs="Times New Roman"/>
                <w:color w:val="000000"/>
                <w:sz w:val="20"/>
                <w:szCs w:val="20"/>
                <w:lang w:val="en-GB" w:eastAsia="zh-CN" w:bidi="ar-SA"/>
              </w:rPr>
              <w:t>Reuse the semi-static switching mechanism based on RRC configuration defined in Rel-19 for low-band CA via switching</w:t>
            </w:r>
          </w:p>
          <w:p>
            <w:pPr>
              <w:numPr>
                <w:ilvl w:val="0"/>
                <w:numId w:val="7"/>
              </w:numPr>
              <w:overflowPunct w:val="0"/>
              <w:autoSpaceDE w:val="0"/>
              <w:autoSpaceDN w:val="0"/>
              <w:adjustRightInd w:val="0"/>
              <w:spacing w:after="0"/>
              <w:ind w:left="440" w:hanging="440" w:firstLineChars="0"/>
              <w:textAlignment w:val="baseline"/>
              <w:rPr>
                <w:rFonts w:ascii="Times New Roman" w:hAnsi="Times New Roman" w:eastAsia="等线" w:cs="Times New Roman"/>
                <w:color w:val="000000"/>
                <w:sz w:val="20"/>
                <w:szCs w:val="20"/>
                <w:lang w:val="en-GB" w:eastAsia="zh-CN" w:bidi="ar-SA"/>
              </w:rPr>
            </w:pPr>
            <w:r>
              <w:rPr>
                <w:rFonts w:ascii="Times New Roman" w:hAnsi="Times New Roman" w:eastAsia="等线" w:cs="Times New Roman"/>
                <w:color w:val="000000"/>
                <w:sz w:val="20"/>
                <w:szCs w:val="20"/>
                <w:lang w:val="en-GB" w:eastAsia="zh-CN" w:bidi="ar-SA"/>
              </w:rPr>
              <w:t xml:space="preserve">Consider the following deployment constraints: </w:t>
            </w:r>
          </w:p>
          <w:p>
            <w:pPr>
              <w:numPr>
                <w:ilvl w:val="1"/>
                <w:numId w:val="7"/>
              </w:numPr>
              <w:overflowPunct w:val="0"/>
              <w:autoSpaceDE w:val="0"/>
              <w:autoSpaceDN w:val="0"/>
              <w:adjustRightInd w:val="0"/>
              <w:spacing w:after="0"/>
              <w:ind w:left="993" w:firstLine="420" w:firstLineChars="0"/>
              <w:textAlignment w:val="baseline"/>
              <w:rPr>
                <w:rFonts w:ascii="Times New Roman" w:hAnsi="Times New Roman" w:eastAsia="等线" w:cs="Times New Roman"/>
                <w:color w:val="000000"/>
                <w:sz w:val="20"/>
                <w:szCs w:val="20"/>
                <w:lang w:val="en-GB" w:eastAsia="en-GB" w:bidi="ar-SA"/>
              </w:rPr>
            </w:pPr>
            <w:r>
              <w:rPr>
                <w:rFonts w:ascii="Times New Roman" w:hAnsi="Times New Roman" w:eastAsia="等线" w:cs="Times New Roman"/>
                <w:color w:val="000000"/>
                <w:sz w:val="20"/>
                <w:szCs w:val="20"/>
                <w:lang w:val="en-GB" w:eastAsia="en-GB" w:bidi="ar-SA"/>
              </w:rPr>
              <w:t>The carrier frequency for all cases is &lt;1GHz.</w:t>
            </w:r>
          </w:p>
          <w:p>
            <w:pPr>
              <w:numPr>
                <w:ilvl w:val="1"/>
                <w:numId w:val="7"/>
              </w:numPr>
              <w:overflowPunct w:val="0"/>
              <w:autoSpaceDE w:val="0"/>
              <w:autoSpaceDN w:val="0"/>
              <w:adjustRightInd w:val="0"/>
              <w:spacing w:after="0"/>
              <w:ind w:left="993" w:firstLine="420" w:firstLineChars="0"/>
              <w:textAlignment w:val="baseline"/>
              <w:rPr>
                <w:rFonts w:ascii="Times New Roman" w:hAnsi="Times New Roman" w:eastAsia="等线" w:cs="Times New Roman"/>
                <w:color w:val="000000"/>
                <w:sz w:val="20"/>
                <w:szCs w:val="20"/>
                <w:lang w:val="en-GB" w:eastAsia="en-GB" w:bidi="ar-SA"/>
              </w:rPr>
            </w:pPr>
            <w:r>
              <w:rPr>
                <w:rFonts w:ascii="Times New Roman" w:hAnsi="Times New Roman" w:eastAsia="等线" w:cs="Times New Roman"/>
                <w:color w:val="000000"/>
                <w:sz w:val="20"/>
                <w:szCs w:val="20"/>
                <w:lang w:val="en-GB" w:eastAsia="en-GB" w:bidi="ar-SA"/>
              </w:rPr>
              <w:t>Co-located and synchronized network deployment for both carriers.</w:t>
            </w:r>
          </w:p>
          <w:p>
            <w:pPr>
              <w:numPr>
                <w:ilvl w:val="1"/>
                <w:numId w:val="7"/>
              </w:numPr>
              <w:overflowPunct w:val="0"/>
              <w:autoSpaceDE w:val="0"/>
              <w:autoSpaceDN w:val="0"/>
              <w:adjustRightInd w:val="0"/>
              <w:spacing w:after="0"/>
              <w:ind w:left="993" w:firstLine="420" w:firstLineChars="0"/>
              <w:textAlignment w:val="baseline"/>
              <w:rPr>
                <w:rFonts w:ascii="Times New Roman" w:hAnsi="Times New Roman" w:eastAsia="等线" w:cs="Times New Roman"/>
                <w:color w:val="000000"/>
                <w:sz w:val="20"/>
                <w:szCs w:val="20"/>
                <w:lang w:val="en-GB" w:eastAsia="en-GB" w:bidi="ar-SA"/>
              </w:rPr>
            </w:pPr>
            <w:r>
              <w:rPr>
                <w:rFonts w:ascii="Times New Roman" w:hAnsi="Times New Roman" w:eastAsia="等线" w:cs="Times New Roman"/>
                <w:color w:val="000000"/>
                <w:sz w:val="20"/>
                <w:szCs w:val="20"/>
                <w:lang w:val="en-GB" w:eastAsia="en-GB" w:bidi="ar-SA"/>
              </w:rPr>
              <w:t>Both carriers are in a single TAG.</w:t>
            </w:r>
          </w:p>
          <w:p>
            <w:pPr>
              <w:numPr>
                <w:ilvl w:val="1"/>
                <w:numId w:val="7"/>
              </w:numPr>
              <w:overflowPunct w:val="0"/>
              <w:autoSpaceDE w:val="0"/>
              <w:autoSpaceDN w:val="0"/>
              <w:adjustRightInd w:val="0"/>
              <w:spacing w:after="0"/>
              <w:ind w:left="993" w:firstLine="420" w:firstLineChars="0"/>
              <w:textAlignment w:val="baseline"/>
              <w:rPr>
                <w:rFonts w:ascii="Times New Roman" w:hAnsi="Times New Roman" w:eastAsia="等线" w:cs="Times New Roman"/>
                <w:color w:val="000000"/>
                <w:sz w:val="20"/>
                <w:szCs w:val="20"/>
                <w:lang w:val="en-GB" w:eastAsia="en-GB" w:bidi="ar-SA"/>
              </w:rPr>
            </w:pPr>
            <w:r>
              <w:rPr>
                <w:rFonts w:ascii="Times New Roman" w:hAnsi="Times New Roman" w:eastAsia="等线" w:cs="Times New Roman"/>
                <w:color w:val="000000"/>
                <w:sz w:val="20"/>
                <w:szCs w:val="20"/>
                <w:lang w:val="en-GB" w:eastAsia="en-GB" w:bidi="ar-SA"/>
              </w:rPr>
              <w:t>SCS 15Khz on both carriers.</w:t>
            </w:r>
          </w:p>
          <w:p>
            <w:pPr>
              <w:numPr>
                <w:ilvl w:val="1"/>
                <w:numId w:val="7"/>
              </w:numPr>
              <w:overflowPunct w:val="0"/>
              <w:autoSpaceDE w:val="0"/>
              <w:autoSpaceDN w:val="0"/>
              <w:adjustRightInd w:val="0"/>
              <w:spacing w:after="0"/>
              <w:ind w:left="993" w:firstLine="420" w:firstLineChars="0"/>
              <w:textAlignment w:val="baseline"/>
              <w:rPr>
                <w:rFonts w:ascii="Times New Roman" w:hAnsi="Times New Roman" w:eastAsia="等线" w:cs="Times New Roman"/>
                <w:color w:val="000000"/>
                <w:sz w:val="20"/>
                <w:szCs w:val="20"/>
                <w:lang w:val="en-GB" w:eastAsia="en-GB" w:bidi="ar-SA"/>
              </w:rPr>
            </w:pPr>
            <w:r>
              <w:rPr>
                <w:rFonts w:ascii="Times New Roman" w:hAnsi="Times New Roman" w:eastAsia="等线" w:cs="Times New Roman"/>
                <w:color w:val="000000"/>
                <w:sz w:val="20"/>
                <w:szCs w:val="20"/>
                <w:lang w:val="en-GB" w:eastAsia="en-GB" w:bidi="ar-SA"/>
              </w:rPr>
              <w:t>No in-gap interference between DL carriers is expected</w:t>
            </w:r>
          </w:p>
          <w:p>
            <w:pPr>
              <w:overflowPunct w:val="0"/>
              <w:autoSpaceDE w:val="0"/>
              <w:autoSpaceDN w:val="0"/>
              <w:adjustRightInd w:val="0"/>
              <w:spacing w:after="180"/>
              <w:ind w:left="442" w:firstLine="0" w:firstLineChars="0"/>
              <w:textAlignment w:val="baseline"/>
              <w:rPr>
                <w:rFonts w:hint="eastAsia" w:cs="Times New Roman"/>
                <w:sz w:val="20"/>
                <w:szCs w:val="20"/>
                <w:vertAlign w:val="baseline"/>
                <w:lang w:val="en-US" w:eastAsia="zh-CN"/>
              </w:rPr>
            </w:pPr>
            <w:r>
              <w:rPr>
                <w:rFonts w:ascii="Times New Roman" w:hAnsi="Times New Roman" w:eastAsia="等线" w:cs="Times New Roman"/>
                <w:color w:val="000000"/>
                <w:sz w:val="20"/>
                <w:szCs w:val="20"/>
                <w:lang w:val="en-GB" w:eastAsia="zh-CN" w:bidi="ar-SA"/>
              </w:rPr>
              <w:t>Note 1: Reuse Rel-19 LB-CA RAN4 requirements as much as possible</w:t>
            </w:r>
            <w:r>
              <w:rPr>
                <w:rFonts w:hint="eastAsia" w:ascii="Times New Roman" w:hAnsi="Times New Roman" w:eastAsia="等线" w:cs="Times New Roman"/>
                <w:color w:val="000000"/>
                <w:sz w:val="20"/>
                <w:szCs w:val="20"/>
                <w:lang w:val="en-GB" w:eastAsia="zh-CN" w:bidi="ar-SA"/>
              </w:rPr>
              <w:t>.</w:t>
            </w:r>
          </w:p>
        </w:tc>
      </w:tr>
    </w:tbl>
    <w:p>
      <w:pPr>
        <w:keepNext w:val="0"/>
        <w:keepLines w:val="0"/>
        <w:pageBreakBefore w:val="0"/>
        <w:widowControl w:val="0"/>
        <w:tabs>
          <w:tab w:val="left" w:pos="2127"/>
        </w:tabs>
        <w:kinsoku/>
        <w:wordWrap/>
        <w:overflowPunct/>
        <w:topLinePunct w:val="0"/>
        <w:autoSpaceDE/>
        <w:autoSpaceDN/>
        <w:bidi w:val="0"/>
        <w:adjustRightInd/>
        <w:snapToGrid/>
        <w:spacing w:before="120" w:beforeLines="0" w:after="120" w:afterLines="0" w:line="260" w:lineRule="auto"/>
        <w:ind w:left="0" w:firstLine="0"/>
        <w:jc w:val="both"/>
        <w:textAlignment w:val="auto"/>
        <w:outlineLvl w:val="9"/>
        <w:rPr>
          <w:rFonts w:hint="eastAsia" w:cs="Times New Roman"/>
          <w:sz w:val="20"/>
          <w:szCs w:val="20"/>
          <w:lang w:val="en-US" w:eastAsia="zh-CN"/>
        </w:rPr>
      </w:pPr>
      <w:r>
        <w:rPr>
          <w:rFonts w:hint="eastAsia" w:cs="Times New Roman"/>
          <w:sz w:val="20"/>
          <w:szCs w:val="20"/>
          <w:lang w:val="en-US" w:eastAsia="zh-CN"/>
        </w:rPr>
        <w:t>The reasons are similar with Rel-19 LBCA switching, which is there exists some challenges to implement the low-low band CA band combination due to poor antenna implementation when sharing one common antenna, or cost/size issue when separated antennas are used.</w:t>
      </w:r>
    </w:p>
    <w:p>
      <w:pPr>
        <w:pStyle w:val="2"/>
        <w:rPr>
          <w:rFonts w:hint="default" w:cs="Times New Roman"/>
          <w:sz w:val="20"/>
          <w:szCs w:val="20"/>
          <w:lang w:val="en-US" w:eastAsia="zh-CN"/>
        </w:rPr>
      </w:pPr>
      <w:r>
        <w:rPr>
          <w:rFonts w:hint="eastAsia" w:cs="Times New Roman"/>
          <w:sz w:val="20"/>
          <w:szCs w:val="20"/>
          <w:lang w:val="en-US" w:eastAsia="zh-CN"/>
        </w:rPr>
        <w:t xml:space="preserve">In last meeting, there are some agreements included and meanwhile, there are still some open issues which need to be discussed. </w:t>
      </w:r>
      <w:r>
        <w:rPr>
          <w:rFonts w:hint="eastAsia" w:eastAsia="宋体" w:cs="Times New Roman"/>
          <w:sz w:val="20"/>
          <w:szCs w:val="20"/>
          <w:lang w:val="en-US" w:eastAsia="zh-CN"/>
        </w:rPr>
        <w:t xml:space="preserve">In this contribution, </w:t>
      </w:r>
      <w:bookmarkStart w:id="9" w:name="OLE_LINK18"/>
      <w:r>
        <w:rPr>
          <w:rFonts w:hint="eastAsia" w:eastAsia="宋体" w:cs="Times New Roman"/>
          <w:sz w:val="20"/>
          <w:szCs w:val="20"/>
          <w:lang w:val="en-US" w:eastAsia="zh-CN"/>
        </w:rPr>
        <w:t xml:space="preserve">we </w:t>
      </w:r>
      <w:r>
        <w:rPr>
          <w:rFonts w:hint="eastAsia" w:cs="Times New Roman"/>
          <w:sz w:val="20"/>
          <w:szCs w:val="20"/>
          <w:lang w:val="en-US" w:eastAsia="zh-CN"/>
        </w:rPr>
        <w:t xml:space="preserve">gives some </w:t>
      </w:r>
      <w:r>
        <w:rPr>
          <w:rFonts w:hint="eastAsia" w:eastAsia="宋体" w:cs="Times New Roman"/>
          <w:sz w:val="20"/>
          <w:szCs w:val="20"/>
          <w:lang w:val="en-US" w:eastAsia="zh-CN"/>
        </w:rPr>
        <w:t>discussion</w:t>
      </w:r>
      <w:r>
        <w:rPr>
          <w:rFonts w:hint="eastAsia" w:cs="Times New Roman"/>
          <w:sz w:val="20"/>
          <w:szCs w:val="20"/>
          <w:lang w:val="en-US" w:eastAsia="zh-CN"/>
        </w:rPr>
        <w:t>s</w:t>
      </w:r>
      <w:r>
        <w:rPr>
          <w:rFonts w:hint="eastAsia" w:eastAsia="宋体" w:cs="Times New Roman"/>
          <w:sz w:val="20"/>
          <w:szCs w:val="20"/>
          <w:lang w:val="en-US" w:eastAsia="zh-CN"/>
        </w:rPr>
        <w:t xml:space="preserve"> on</w:t>
      </w:r>
      <w:r>
        <w:rPr>
          <w:rFonts w:hint="eastAsia" w:cs="Times New Roman"/>
          <w:sz w:val="20"/>
          <w:szCs w:val="20"/>
          <w:lang w:val="en-US" w:eastAsia="zh-CN"/>
        </w:rPr>
        <w:t xml:space="preserve"> some open issue for the enhancement of low-low band CA via switching</w:t>
      </w:r>
      <w:bookmarkEnd w:id="9"/>
      <w:r>
        <w:rPr>
          <w:rFonts w:hint="eastAsia" w:cs="Times New Roman"/>
          <w:sz w:val="20"/>
          <w:szCs w:val="20"/>
          <w:lang w:val="en-US" w:eastAsia="zh-CN"/>
        </w:rPr>
        <w:t xml:space="preserve"> based on [3].</w:t>
      </w:r>
    </w:p>
    <w:p>
      <w:pPr>
        <w:keepNext w:val="0"/>
        <w:keepLines w:val="0"/>
        <w:pageBreakBefore w:val="0"/>
        <w:widowControl w:val="0"/>
        <w:pBdr>
          <w:top w:val="single" w:color="auto" w:sz="12" w:space="3"/>
        </w:pBdr>
        <w:kinsoku/>
        <w:wordWrap/>
        <w:topLinePunct w:val="0"/>
        <w:bidi w:val="0"/>
        <w:snapToGrid/>
        <w:spacing w:beforeLines="0" w:after="120" w:afterLines="0"/>
        <w:jc w:val="left"/>
        <w:outlineLvl w:val="0"/>
        <w:rPr>
          <w:b/>
          <w:kern w:val="0"/>
          <w:sz w:val="24"/>
          <w:szCs w:val="24"/>
          <w:highlight w:val="none"/>
        </w:rPr>
      </w:pPr>
      <w:r>
        <w:rPr>
          <w:b/>
          <w:kern w:val="0"/>
          <w:sz w:val="24"/>
          <w:szCs w:val="24"/>
          <w:highlight w:val="none"/>
        </w:rPr>
        <w:t>2</w:t>
      </w:r>
      <w:r>
        <w:rPr>
          <w:b/>
          <w:kern w:val="0"/>
          <w:sz w:val="24"/>
          <w:szCs w:val="24"/>
          <w:highlight w:val="none"/>
        </w:rPr>
        <w:tab/>
      </w:r>
      <w:r>
        <w:rPr>
          <w:b/>
          <w:kern w:val="0"/>
          <w:sz w:val="24"/>
          <w:szCs w:val="24"/>
          <w:highlight w:val="none"/>
        </w:rPr>
        <w:t>Discussion</w:t>
      </w:r>
    </w:p>
    <w:p>
      <w:pPr>
        <w:keepNext w:val="0"/>
        <w:keepLines w:val="0"/>
        <w:pageBreakBefore w:val="0"/>
        <w:widowControl w:val="0"/>
        <w:tabs>
          <w:tab w:val="left" w:pos="2127"/>
        </w:tabs>
        <w:kinsoku/>
        <w:wordWrap/>
        <w:overflowPunct/>
        <w:topLinePunct w:val="0"/>
        <w:autoSpaceDE/>
        <w:autoSpaceDN/>
        <w:bidi w:val="0"/>
        <w:adjustRightInd/>
        <w:snapToGrid/>
        <w:spacing w:before="120" w:beforeLines="0" w:after="120" w:afterLines="0" w:line="260" w:lineRule="auto"/>
        <w:ind w:left="0" w:firstLine="0"/>
        <w:jc w:val="both"/>
        <w:textAlignment w:val="auto"/>
        <w:outlineLvl w:val="9"/>
        <w:rPr>
          <w:rFonts w:hint="default" w:cs="Times New Roman"/>
          <w:sz w:val="20"/>
          <w:szCs w:val="20"/>
          <w:lang w:val="en-US" w:eastAsia="zh-CN"/>
        </w:rPr>
      </w:pPr>
      <w:bookmarkStart w:id="10" w:name="OLE_LINK66"/>
      <w:bookmarkStart w:id="11" w:name="OLE_LINK23"/>
      <w:r>
        <w:rPr>
          <w:rFonts w:hint="eastAsia" w:cs="Times New Roman"/>
          <w:sz w:val="20"/>
          <w:szCs w:val="20"/>
          <w:lang w:val="en-US" w:eastAsia="zh-CN"/>
        </w:rPr>
        <w:t>Comparing with the Rel-19 LBCA switching, additional switching case is introduced. Thus there are three cases up to Rel-20 for LBCA switching.</w:t>
      </w:r>
    </w:p>
    <w:p>
      <w:pPr>
        <w:numPr>
          <w:ilvl w:val="0"/>
          <w:numId w:val="0"/>
        </w:numPr>
        <w:overflowPunct w:val="0"/>
        <w:autoSpaceDE w:val="0"/>
        <w:autoSpaceDN w:val="0"/>
        <w:adjustRightInd w:val="0"/>
        <w:spacing w:after="0"/>
        <w:jc w:val="left"/>
        <w:textAlignment w:val="baseline"/>
        <w:rPr>
          <w:rFonts w:ascii="Times New Roman" w:hAnsi="Times New Roman" w:eastAsia="等线" w:cs="Times New Roman"/>
          <w:color w:val="000000"/>
          <w:sz w:val="20"/>
          <w:szCs w:val="20"/>
          <w:lang w:val="en-GB" w:eastAsia="en-GB" w:bidi="ar-SA"/>
        </w:rPr>
      </w:pPr>
      <w:r>
        <w:rPr>
          <w:rFonts w:ascii="Times New Roman" w:hAnsi="Times New Roman" w:eastAsia="等线" w:cs="Times New Roman"/>
          <w:color w:val="000000"/>
          <w:sz w:val="20"/>
          <w:szCs w:val="20"/>
          <w:lang w:val="en-GB" w:eastAsia="en-GB" w:bidi="ar-SA"/>
        </w:rPr>
        <w:t>Case 1: Tx/Rx on FDD carrier 1 and no Rx on SDL carrier 2.</w:t>
      </w:r>
    </w:p>
    <w:p>
      <w:pPr>
        <w:numPr>
          <w:ilvl w:val="0"/>
          <w:numId w:val="0"/>
        </w:numPr>
        <w:overflowPunct w:val="0"/>
        <w:autoSpaceDE w:val="0"/>
        <w:autoSpaceDN w:val="0"/>
        <w:adjustRightInd w:val="0"/>
        <w:spacing w:after="0"/>
        <w:jc w:val="left"/>
        <w:textAlignment w:val="baseline"/>
        <w:rPr>
          <w:rFonts w:ascii="Times New Roman" w:hAnsi="Times New Roman" w:eastAsia="等线" w:cs="Times New Roman"/>
          <w:color w:val="000000"/>
          <w:sz w:val="20"/>
          <w:szCs w:val="20"/>
          <w:lang w:val="en-GB" w:eastAsia="en-GB" w:bidi="ar-SA"/>
        </w:rPr>
      </w:pPr>
      <w:r>
        <w:rPr>
          <w:rFonts w:ascii="Times New Roman" w:hAnsi="Times New Roman" w:eastAsia="等线" w:cs="Times New Roman"/>
          <w:sz w:val="20"/>
          <w:szCs w:val="20"/>
          <w:lang w:val="en-GB" w:eastAsia="en-GB" w:bidi="ar-SA"/>
        </w:rPr>
        <w:t>Case 2: Rx on SDL carrier 2 and no Tx/Rx on FDD carrier 1</w:t>
      </w:r>
    </w:p>
    <w:p>
      <w:pPr>
        <w:numPr>
          <w:ilvl w:val="0"/>
          <w:numId w:val="0"/>
        </w:numPr>
        <w:overflowPunct w:val="0"/>
        <w:autoSpaceDE w:val="0"/>
        <w:autoSpaceDN w:val="0"/>
        <w:adjustRightInd w:val="0"/>
        <w:spacing w:after="0"/>
        <w:jc w:val="left"/>
        <w:textAlignment w:val="baseline"/>
        <w:rPr>
          <w:rFonts w:ascii="Times New Roman" w:hAnsi="Times New Roman" w:eastAsia="等线" w:cs="Times New Roman"/>
          <w:color w:val="000000"/>
          <w:sz w:val="20"/>
          <w:szCs w:val="20"/>
          <w:lang w:val="en-GB" w:eastAsia="en-GB" w:bidi="ar-SA"/>
        </w:rPr>
      </w:pPr>
      <w:r>
        <w:rPr>
          <w:rFonts w:ascii="Times New Roman" w:hAnsi="Times New Roman" w:eastAsia="等线" w:cs="Times New Roman"/>
          <w:color w:val="000000"/>
          <w:sz w:val="20"/>
          <w:szCs w:val="20"/>
          <w:lang w:val="en-GB" w:eastAsia="en-GB" w:bidi="ar-SA"/>
        </w:rPr>
        <w:t xml:space="preserve">Case </w:t>
      </w:r>
      <w:r>
        <w:rPr>
          <w:rFonts w:hint="eastAsia" w:ascii="Times New Roman" w:hAnsi="Times New Roman" w:eastAsia="等线" w:cs="Times New Roman"/>
          <w:color w:val="000000"/>
          <w:sz w:val="20"/>
          <w:szCs w:val="20"/>
          <w:lang w:val="en-GB" w:eastAsia="zh-CN" w:bidi="ar-SA"/>
        </w:rPr>
        <w:t>3</w:t>
      </w:r>
      <w:r>
        <w:rPr>
          <w:rFonts w:ascii="Times New Roman" w:hAnsi="Times New Roman" w:eastAsia="等线" w:cs="Times New Roman"/>
          <w:color w:val="000000"/>
          <w:sz w:val="20"/>
          <w:szCs w:val="20"/>
          <w:lang w:val="en-GB" w:eastAsia="en-GB" w:bidi="ar-SA"/>
        </w:rPr>
        <w:t>: Rx on both FDD carrier 1 and SDL carrier 2 and no Tx on FDD carrier 1.</w:t>
      </w:r>
    </w:p>
    <w:p>
      <w:pPr>
        <w:keepNext w:val="0"/>
        <w:keepLines w:val="0"/>
        <w:pageBreakBefore w:val="0"/>
        <w:widowControl/>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eastAsia"/>
          <w:sz w:val="20"/>
          <w:szCs w:val="20"/>
          <w:lang w:val="en-US" w:eastAsia="zh-CN"/>
        </w:rPr>
      </w:pPr>
      <w:r>
        <w:rPr>
          <w:rFonts w:hint="eastAsia"/>
          <w:sz w:val="20"/>
          <w:szCs w:val="20"/>
          <w:lang w:val="en-US" w:eastAsia="zh-CN"/>
        </w:rPr>
        <w:t>For Rel-19 LBCA switching, it is the switching case between Case 1 and Case 2, which is switchedDL option, and For Rel-20 enhanced LBCA switching, it is the switching case between Case 1 and Case 3, which is dual DL option. It should be noted that there is no switching happened between Case 2 and Case 3.</w:t>
      </w:r>
    </w:p>
    <w:p>
      <w:pPr>
        <w:keepNext w:val="0"/>
        <w:keepLines w:val="0"/>
        <w:pageBreakBefore w:val="0"/>
        <w:widowControl/>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The different switching scenarios are applied to the following FDD+SDL LBCA combination:</w:t>
      </w:r>
    </w:p>
    <w:p>
      <w:pPr>
        <w:keepNext w:val="0"/>
        <w:keepLines w:val="0"/>
        <w:pageBreakBefore w:val="0"/>
        <w:widowControl/>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1. Rel-19 LBCA switching mechanistic (i.e. single DL switched) applies to </w:t>
      </w:r>
      <w:r>
        <w:rPr>
          <w:rFonts w:hint="default" w:ascii="Times New Roman" w:hAnsi="Times New Roman" w:cs="Times New Roman"/>
          <w:sz w:val="20"/>
          <w:szCs w:val="20"/>
          <w:lang w:val="en-GB" w:eastAsia="en-GB"/>
        </w:rPr>
        <w:t>CA_n5-n29</w:t>
      </w:r>
      <w:r>
        <w:rPr>
          <w:rFonts w:hint="default" w:ascii="Times New Roman" w:hAnsi="Times New Roman" w:cs="Times New Roman"/>
          <w:sz w:val="20"/>
          <w:szCs w:val="20"/>
          <w:lang w:val="en-US" w:eastAsia="zh-CN"/>
        </w:rPr>
        <w:t xml:space="preserve">, </w:t>
      </w:r>
      <w:r>
        <w:rPr>
          <w:rFonts w:hint="default" w:ascii="Times New Roman" w:hAnsi="Times New Roman" w:cs="Times New Roman"/>
          <w:sz w:val="20"/>
          <w:szCs w:val="20"/>
          <w:lang w:val="en-GB" w:eastAsia="en-GB"/>
        </w:rPr>
        <w:t>CA_n</w:t>
      </w:r>
      <w:r>
        <w:rPr>
          <w:rFonts w:hint="default" w:ascii="Times New Roman" w:hAnsi="Times New Roman" w:cs="Times New Roman"/>
          <w:sz w:val="20"/>
          <w:szCs w:val="20"/>
          <w:lang w:val="en-US" w:eastAsia="zh-CN"/>
        </w:rPr>
        <w:t>12</w:t>
      </w:r>
      <w:r>
        <w:rPr>
          <w:rFonts w:hint="default" w:ascii="Times New Roman" w:hAnsi="Times New Roman" w:cs="Times New Roman"/>
          <w:sz w:val="20"/>
          <w:szCs w:val="20"/>
          <w:lang w:val="en-GB" w:eastAsia="en-GB"/>
        </w:rPr>
        <w:t>-n29</w:t>
      </w:r>
      <w:r>
        <w:rPr>
          <w:rFonts w:hint="default" w:ascii="Times New Roman" w:hAnsi="Times New Roman" w:cs="Times New Roman"/>
          <w:sz w:val="20"/>
          <w:szCs w:val="20"/>
          <w:lang w:val="en-US" w:eastAsia="zh-CN"/>
        </w:rPr>
        <w:t xml:space="preserve">, </w:t>
      </w:r>
      <w:r>
        <w:rPr>
          <w:rFonts w:hint="default" w:ascii="Times New Roman" w:hAnsi="Times New Roman" w:cs="Times New Roman"/>
          <w:sz w:val="20"/>
          <w:szCs w:val="20"/>
          <w:lang w:val="en-GB" w:eastAsia="en-GB"/>
        </w:rPr>
        <w:t>CA_n</w:t>
      </w:r>
      <w:r>
        <w:rPr>
          <w:rFonts w:hint="default" w:ascii="Times New Roman" w:hAnsi="Times New Roman" w:cs="Times New Roman"/>
          <w:sz w:val="20"/>
          <w:szCs w:val="20"/>
          <w:lang w:val="en-US" w:eastAsia="zh-CN"/>
        </w:rPr>
        <w:t>14</w:t>
      </w:r>
      <w:r>
        <w:rPr>
          <w:rFonts w:hint="default" w:ascii="Times New Roman" w:hAnsi="Times New Roman" w:cs="Times New Roman"/>
          <w:sz w:val="20"/>
          <w:szCs w:val="20"/>
          <w:lang w:val="en-GB" w:eastAsia="en-GB"/>
        </w:rPr>
        <w:t>-n29</w:t>
      </w:r>
      <w:r>
        <w:rPr>
          <w:rFonts w:hint="default" w:ascii="Times New Roman" w:hAnsi="Times New Roman" w:cs="Times New Roman"/>
          <w:sz w:val="20"/>
          <w:szCs w:val="20"/>
          <w:lang w:val="en-US" w:eastAsia="zh-CN"/>
        </w:rPr>
        <w:t>, CA_n28-n67 and CA_n29-n71 according to the CR[2].</w:t>
      </w:r>
    </w:p>
    <w:p>
      <w:pPr>
        <w:keepNext w:val="0"/>
        <w:keepLines w:val="0"/>
        <w:pageBreakBefore w:val="0"/>
        <w:widowControl/>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2. Rel-20 LBCA switching mechanistic (i.e. dual DL switched) applies to </w:t>
      </w:r>
      <w:r>
        <w:rPr>
          <w:rFonts w:hint="default" w:ascii="Times New Roman" w:hAnsi="Times New Roman" w:cs="Times New Roman"/>
          <w:sz w:val="20"/>
          <w:szCs w:val="20"/>
          <w:lang w:val="en-GB" w:eastAsia="en-GB"/>
        </w:rPr>
        <w:t>CA_n</w:t>
      </w:r>
      <w:r>
        <w:rPr>
          <w:rFonts w:hint="default" w:ascii="Times New Roman" w:hAnsi="Times New Roman" w:cs="Times New Roman"/>
          <w:sz w:val="20"/>
          <w:szCs w:val="20"/>
          <w:lang w:val="en-US" w:eastAsia="zh-CN"/>
        </w:rPr>
        <w:t>12</w:t>
      </w:r>
      <w:r>
        <w:rPr>
          <w:rFonts w:hint="default" w:ascii="Times New Roman" w:hAnsi="Times New Roman" w:cs="Times New Roman"/>
          <w:sz w:val="20"/>
          <w:szCs w:val="20"/>
          <w:lang w:val="en-GB" w:eastAsia="en-GB"/>
        </w:rPr>
        <w:t>-n29</w:t>
      </w:r>
      <w:r>
        <w:rPr>
          <w:rFonts w:hint="default" w:ascii="Times New Roman" w:hAnsi="Times New Roman" w:cs="Times New Roman"/>
          <w:sz w:val="20"/>
          <w:szCs w:val="20"/>
          <w:lang w:val="en-US" w:eastAsia="zh-CN"/>
        </w:rPr>
        <w:t>, CA_n28-n67 according to the WID</w:t>
      </w:r>
    </w:p>
    <w:p>
      <w:pPr>
        <w:keepNext w:val="0"/>
        <w:keepLines w:val="0"/>
        <w:pageBreakBefore w:val="0"/>
        <w:widowControl/>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It should be noted that more LBCA combination will be introduced via basket WID.</w:t>
      </w:r>
      <w:r>
        <w:rPr>
          <w:rFonts w:hint="eastAsia" w:ascii="Times New Roman" w:hAnsi="Times New Roman" w:cs="Times New Roman"/>
          <w:sz w:val="20"/>
          <w:szCs w:val="20"/>
          <w:lang w:val="en-US" w:eastAsia="zh-CN"/>
        </w:rPr>
        <w:t xml:space="preserve"> All </w:t>
      </w:r>
      <w:r>
        <w:rPr>
          <w:rFonts w:hint="eastAsia" w:cs="Times New Roman"/>
          <w:sz w:val="20"/>
          <w:szCs w:val="20"/>
          <w:lang w:val="en-US" w:eastAsia="zh-CN"/>
        </w:rPr>
        <w:t>band combination are comprised of single carrier in each band.</w:t>
      </w:r>
    </w:p>
    <w:p>
      <w:pPr>
        <w:keepNext w:val="0"/>
        <w:keepLines w:val="0"/>
        <w:pageBreakBefore w:val="0"/>
        <w:widowControl/>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It can be seen that for </w:t>
      </w:r>
      <w:r>
        <w:rPr>
          <w:rFonts w:hint="default" w:ascii="Times New Roman" w:hAnsi="Times New Roman" w:cs="Times New Roman"/>
          <w:sz w:val="20"/>
          <w:szCs w:val="20"/>
          <w:lang w:val="en-GB" w:eastAsia="en-GB"/>
        </w:rPr>
        <w:t>CA_n</w:t>
      </w:r>
      <w:r>
        <w:rPr>
          <w:rFonts w:hint="default" w:ascii="Times New Roman" w:hAnsi="Times New Roman" w:cs="Times New Roman"/>
          <w:sz w:val="20"/>
          <w:szCs w:val="20"/>
          <w:lang w:val="en-US" w:eastAsia="zh-CN"/>
        </w:rPr>
        <w:t>12</w:t>
      </w:r>
      <w:r>
        <w:rPr>
          <w:rFonts w:hint="eastAsia" w:ascii="Times New Roman" w:hAnsi="Times New Roman" w:cs="Times New Roman"/>
          <w:sz w:val="20"/>
          <w:szCs w:val="20"/>
          <w:lang w:val="en-US" w:eastAsia="zh-CN"/>
        </w:rPr>
        <w:t>A</w:t>
      </w:r>
      <w:r>
        <w:rPr>
          <w:rFonts w:hint="default" w:ascii="Times New Roman" w:hAnsi="Times New Roman" w:cs="Times New Roman"/>
          <w:sz w:val="20"/>
          <w:szCs w:val="20"/>
          <w:lang w:val="en-GB" w:eastAsia="en-GB"/>
        </w:rPr>
        <w:t>-n29</w:t>
      </w:r>
      <w:r>
        <w:rPr>
          <w:rFonts w:hint="eastAsia" w:ascii="Times New Roman" w:hAnsi="Times New Roman" w:cs="Times New Roman"/>
          <w:sz w:val="20"/>
          <w:szCs w:val="20"/>
          <w:lang w:val="en-US" w:eastAsia="zh-CN"/>
        </w:rPr>
        <w:t>A</w:t>
      </w:r>
      <w:r>
        <w:rPr>
          <w:rFonts w:hint="default" w:ascii="Times New Roman" w:hAnsi="Times New Roman" w:cs="Times New Roman"/>
          <w:sz w:val="20"/>
          <w:szCs w:val="20"/>
          <w:lang w:val="en-US" w:eastAsia="zh-CN"/>
        </w:rPr>
        <w:t xml:space="preserve"> and CA_n28</w:t>
      </w:r>
      <w:r>
        <w:rPr>
          <w:rFonts w:hint="eastAsia" w:ascii="Times New Roman" w:hAnsi="Times New Roman" w:cs="Times New Roman"/>
          <w:sz w:val="20"/>
          <w:szCs w:val="20"/>
          <w:lang w:val="en-US" w:eastAsia="zh-CN"/>
        </w:rPr>
        <w:t>A</w:t>
      </w:r>
      <w:r>
        <w:rPr>
          <w:rFonts w:hint="default" w:ascii="Times New Roman" w:hAnsi="Times New Roman" w:cs="Times New Roman"/>
          <w:sz w:val="20"/>
          <w:szCs w:val="20"/>
          <w:lang w:val="en-US" w:eastAsia="zh-CN"/>
        </w:rPr>
        <w:t>-n67</w:t>
      </w:r>
      <w:r>
        <w:rPr>
          <w:rFonts w:hint="eastAsia" w:ascii="Times New Roman" w:hAnsi="Times New Roman" w:cs="Times New Roman"/>
          <w:sz w:val="20"/>
          <w:szCs w:val="20"/>
          <w:lang w:val="en-US" w:eastAsia="zh-CN"/>
        </w:rPr>
        <w:t>A</w:t>
      </w:r>
      <w:r>
        <w:rPr>
          <w:rFonts w:hint="default" w:ascii="Times New Roman" w:hAnsi="Times New Roman" w:cs="Times New Roman"/>
          <w:sz w:val="20"/>
          <w:szCs w:val="20"/>
          <w:lang w:val="en-US" w:eastAsia="zh-CN"/>
        </w:rPr>
        <w:t xml:space="preserve"> can support both single DL switched and dual DL switched options. However, we think it may not support both switching options for all FDD+SDL due to large Rx frequency separation between the two band such as CA_n5</w:t>
      </w:r>
      <w:r>
        <w:rPr>
          <w:rFonts w:hint="eastAsia" w:ascii="Times New Roman" w:hAnsi="Times New Roman" w:cs="Times New Roman"/>
          <w:sz w:val="20"/>
          <w:szCs w:val="20"/>
          <w:lang w:val="en-US" w:eastAsia="zh-CN"/>
        </w:rPr>
        <w:t>A</w:t>
      </w:r>
      <w:r>
        <w:rPr>
          <w:rFonts w:hint="default" w:ascii="Times New Roman" w:hAnsi="Times New Roman" w:cs="Times New Roman"/>
          <w:sz w:val="20"/>
          <w:szCs w:val="20"/>
          <w:lang w:val="en-US" w:eastAsia="zh-CN"/>
        </w:rPr>
        <w:t>-n29</w:t>
      </w:r>
      <w:r>
        <w:rPr>
          <w:rFonts w:hint="eastAsia" w:ascii="Times New Roman" w:hAnsi="Times New Roman" w:cs="Times New Roman"/>
          <w:sz w:val="20"/>
          <w:szCs w:val="20"/>
          <w:lang w:val="en-US" w:eastAsia="zh-CN"/>
        </w:rPr>
        <w:t>A</w:t>
      </w:r>
      <w:r>
        <w:rPr>
          <w:rFonts w:hint="default" w:ascii="Times New Roman" w:hAnsi="Times New Roman" w:cs="Times New Roman"/>
          <w:sz w:val="20"/>
          <w:szCs w:val="20"/>
          <w:lang w:val="en-US" w:eastAsia="zh-CN"/>
        </w:rPr>
        <w:t>.</w:t>
      </w:r>
    </w:p>
    <w:p>
      <w:pPr>
        <w:pStyle w:val="2"/>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 xml:space="preserve">The frequency information for </w:t>
      </w:r>
      <w:r>
        <w:rPr>
          <w:rFonts w:hint="default" w:ascii="Times New Roman" w:hAnsi="Times New Roman" w:cs="Times New Roman"/>
          <w:sz w:val="20"/>
          <w:szCs w:val="20"/>
          <w:lang w:val="en-GB" w:eastAsia="en-GB"/>
        </w:rPr>
        <w:t>CA_n</w:t>
      </w:r>
      <w:r>
        <w:rPr>
          <w:rFonts w:hint="default" w:ascii="Times New Roman" w:hAnsi="Times New Roman" w:cs="Times New Roman"/>
          <w:sz w:val="20"/>
          <w:szCs w:val="20"/>
          <w:lang w:val="en-US" w:eastAsia="zh-CN"/>
        </w:rPr>
        <w:t>12</w:t>
      </w:r>
      <w:r>
        <w:rPr>
          <w:rFonts w:hint="eastAsia" w:ascii="Times New Roman" w:hAnsi="Times New Roman" w:cs="Times New Roman"/>
          <w:sz w:val="20"/>
          <w:szCs w:val="20"/>
          <w:lang w:val="en-US" w:eastAsia="zh-CN"/>
        </w:rPr>
        <w:t>A</w:t>
      </w:r>
      <w:r>
        <w:rPr>
          <w:rFonts w:hint="default" w:ascii="Times New Roman" w:hAnsi="Times New Roman" w:cs="Times New Roman"/>
          <w:sz w:val="20"/>
          <w:szCs w:val="20"/>
          <w:lang w:val="en-GB" w:eastAsia="en-GB"/>
        </w:rPr>
        <w:t>-n29</w:t>
      </w:r>
      <w:r>
        <w:rPr>
          <w:rFonts w:hint="eastAsia" w:ascii="Times New Roman" w:hAnsi="Times New Roman" w:cs="Times New Roman"/>
          <w:sz w:val="20"/>
          <w:szCs w:val="20"/>
          <w:lang w:val="en-US" w:eastAsia="zh-CN"/>
        </w:rPr>
        <w:t>A</w:t>
      </w:r>
      <w:r>
        <w:rPr>
          <w:rFonts w:hint="default" w:ascii="Times New Roman" w:hAnsi="Times New Roman" w:cs="Times New Roman"/>
          <w:sz w:val="20"/>
          <w:szCs w:val="20"/>
          <w:lang w:val="en-US" w:eastAsia="zh-CN"/>
        </w:rPr>
        <w:t xml:space="preserve"> and CA_n28</w:t>
      </w:r>
      <w:r>
        <w:rPr>
          <w:rFonts w:hint="eastAsia" w:ascii="Times New Roman" w:hAnsi="Times New Roman" w:cs="Times New Roman"/>
          <w:sz w:val="20"/>
          <w:szCs w:val="20"/>
          <w:lang w:val="en-US" w:eastAsia="zh-CN"/>
        </w:rPr>
        <w:t>A</w:t>
      </w:r>
      <w:r>
        <w:rPr>
          <w:rFonts w:hint="default" w:ascii="Times New Roman" w:hAnsi="Times New Roman" w:cs="Times New Roman"/>
          <w:sz w:val="20"/>
          <w:szCs w:val="20"/>
          <w:lang w:val="en-US" w:eastAsia="zh-CN"/>
        </w:rPr>
        <w:t>-n67</w:t>
      </w:r>
      <w:r>
        <w:rPr>
          <w:rFonts w:hint="eastAsia" w:ascii="Times New Roman" w:hAnsi="Times New Roman" w:cs="Times New Roman"/>
          <w:sz w:val="20"/>
          <w:szCs w:val="20"/>
          <w:lang w:val="en-US" w:eastAsia="zh-CN"/>
        </w:rPr>
        <w:t>A can be found in table 1 from TR38.768.</w:t>
      </w:r>
    </w:p>
    <w:tbl>
      <w:tblPr>
        <w:tblStyle w:val="24"/>
        <w:tblW w:w="100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5"/>
        <w:gridCol w:w="7380"/>
        <w:gridCol w:w="11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5" w:type="dxa"/>
            <w:shd w:val="clear" w:color="auto" w:fill="D9D9D9"/>
          </w:tcPr>
          <w:p>
            <w:pPr>
              <w:pStyle w:val="66"/>
            </w:pPr>
            <w:r>
              <w:t>Configuration</w:t>
            </w:r>
          </w:p>
        </w:tc>
        <w:tc>
          <w:tcPr>
            <w:tcW w:w="7380" w:type="dxa"/>
            <w:shd w:val="clear" w:color="auto" w:fill="D9D9D9"/>
          </w:tcPr>
          <w:p>
            <w:pPr>
              <w:pStyle w:val="66"/>
            </w:pPr>
            <w:r>
              <w:t>Illustration</w:t>
            </w:r>
          </w:p>
        </w:tc>
        <w:tc>
          <w:tcPr>
            <w:tcW w:w="1127" w:type="dxa"/>
            <w:shd w:val="clear" w:color="auto" w:fill="D9D9D9"/>
          </w:tcPr>
          <w:p>
            <w:pPr>
              <w:pStyle w:val="66"/>
            </w:pPr>
            <w:r>
              <w:t>Notes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5" w:type="dxa"/>
          </w:tcPr>
          <w:p>
            <w:pPr>
              <w:pStyle w:val="59"/>
              <w:spacing w:beforeLines="0" w:afterLines="0"/>
            </w:pPr>
            <w:r>
              <w:t>CA_n12A-n29A</w:t>
            </w:r>
          </w:p>
        </w:tc>
        <w:tc>
          <w:tcPr>
            <w:tcW w:w="7380" w:type="dxa"/>
          </w:tcPr>
          <w:p>
            <w:pPr>
              <w:pStyle w:val="59"/>
              <w:spacing w:beforeLines="0" w:afterLines="0"/>
            </w:pPr>
          </w:p>
          <w:p>
            <w:pPr>
              <w:pStyle w:val="59"/>
              <w:spacing w:beforeLines="0" w:afterLines="0"/>
            </w:pPr>
            <w:r>
              <w:drawing>
                <wp:inline distT="0" distB="0" distL="0" distR="0">
                  <wp:extent cx="2882900" cy="847725"/>
                  <wp:effectExtent l="0" t="0" r="12700" b="0"/>
                  <wp:docPr id="78038858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0388587" name="Picture 1"/>
                          <pic:cNvPicPr>
                            <a:picLocks noChangeAspect="1"/>
                          </pic:cNvPicPr>
                        </pic:nvPicPr>
                        <pic:blipFill>
                          <a:blip r:embed="rId12"/>
                          <a:stretch>
                            <a:fillRect/>
                          </a:stretch>
                        </pic:blipFill>
                        <pic:spPr>
                          <a:xfrm>
                            <a:off x="0" y="0"/>
                            <a:ext cx="2882900" cy="847725"/>
                          </a:xfrm>
                          <a:prstGeom prst="rect">
                            <a:avLst/>
                          </a:prstGeom>
                        </pic:spPr>
                      </pic:pic>
                    </a:graphicData>
                  </a:graphic>
                </wp:inline>
              </w:drawing>
            </w:r>
          </w:p>
          <w:p>
            <w:pPr>
              <w:pStyle w:val="59"/>
              <w:spacing w:beforeLines="0" w:afterLines="0"/>
            </w:pPr>
          </w:p>
        </w:tc>
        <w:tc>
          <w:tcPr>
            <w:tcW w:w="1127" w:type="dxa"/>
          </w:tcPr>
          <w:p>
            <w:pPr>
              <w:pStyle w:val="71"/>
              <w:spacing w:beforeLines="0" w:afterLines="0"/>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5" w:type="dxa"/>
          </w:tcPr>
          <w:p>
            <w:pPr>
              <w:pStyle w:val="59"/>
              <w:spacing w:beforeLines="0" w:afterLines="0"/>
            </w:pPr>
            <w:r>
              <w:t>CA_n28A-n67A</w:t>
            </w:r>
          </w:p>
        </w:tc>
        <w:tc>
          <w:tcPr>
            <w:tcW w:w="7380" w:type="dxa"/>
          </w:tcPr>
          <w:p>
            <w:pPr>
              <w:pStyle w:val="59"/>
              <w:spacing w:beforeLines="0" w:afterLines="0"/>
            </w:pPr>
          </w:p>
          <w:p>
            <w:pPr>
              <w:pStyle w:val="59"/>
              <w:spacing w:beforeLines="0" w:afterLines="0"/>
            </w:pPr>
            <w:r>
              <w:drawing>
                <wp:inline distT="0" distB="0" distL="0" distR="0">
                  <wp:extent cx="3377565" cy="502920"/>
                  <wp:effectExtent l="0" t="0" r="5715" b="0"/>
                  <wp:docPr id="74624347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6243477" name="Picture 1"/>
                          <pic:cNvPicPr>
                            <a:picLocks noChangeAspect="1"/>
                          </pic:cNvPicPr>
                        </pic:nvPicPr>
                        <pic:blipFill>
                          <a:blip r:embed="rId13"/>
                          <a:stretch>
                            <a:fillRect/>
                          </a:stretch>
                        </pic:blipFill>
                        <pic:spPr>
                          <a:xfrm>
                            <a:off x="0" y="0"/>
                            <a:ext cx="3378002" cy="502920"/>
                          </a:xfrm>
                          <a:prstGeom prst="rect">
                            <a:avLst/>
                          </a:prstGeom>
                        </pic:spPr>
                      </pic:pic>
                    </a:graphicData>
                  </a:graphic>
                </wp:inline>
              </w:drawing>
            </w:r>
          </w:p>
          <w:p>
            <w:pPr>
              <w:pStyle w:val="59"/>
              <w:spacing w:beforeLines="0" w:afterLines="0"/>
            </w:pPr>
          </w:p>
        </w:tc>
        <w:tc>
          <w:tcPr>
            <w:tcW w:w="1127" w:type="dxa"/>
          </w:tcPr>
          <w:p>
            <w:pPr>
              <w:pStyle w:val="71"/>
              <w:spacing w:beforeLines="0" w:afterLines="0"/>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32" w:type="dxa"/>
            <w:gridSpan w:val="3"/>
          </w:tcPr>
          <w:p>
            <w:pPr>
              <w:pStyle w:val="71"/>
              <w:spacing w:beforeLines="0" w:afterLines="0"/>
            </w:pPr>
            <w:r>
              <w:t>NOTE 1:</w:t>
            </w:r>
            <w:r>
              <w:tab/>
            </w:r>
            <w:r>
              <w:t>Aggregation of n12 + n29 DL with no UL on n12 and depending on UE RF front end capability is targeted for switching Case 3</w:t>
            </w:r>
          </w:p>
          <w:p>
            <w:pPr>
              <w:pStyle w:val="71"/>
              <w:spacing w:beforeLines="0" w:afterLines="0"/>
            </w:pPr>
            <w:r>
              <w:t>NOTE 2:</w:t>
            </w:r>
            <w:r>
              <w:tab/>
            </w:r>
            <w:r>
              <w:t>Aggregation of n28 + n67 DL with no UL on n28 and depending on UE RF front end capability is targeted for switching Case 3</w:t>
            </w:r>
          </w:p>
        </w:tc>
      </w:tr>
    </w:tbl>
    <w:p>
      <w:pPr>
        <w:pStyle w:val="2"/>
        <w:rPr>
          <w:rFonts w:hint="eastAsia"/>
          <w:sz w:val="20"/>
          <w:szCs w:val="20"/>
          <w:lang w:val="en-US" w:eastAsia="zh-CN"/>
        </w:rPr>
      </w:pPr>
      <w:r>
        <w:rPr>
          <w:rFonts w:hint="eastAsia"/>
          <w:sz w:val="20"/>
          <w:szCs w:val="20"/>
          <w:lang w:val="en-US" w:eastAsia="zh-CN"/>
        </w:rPr>
        <w:t>For the UE RF reference architecture, it was agreed:</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widowControl/>
              <w:overflowPunct w:val="0"/>
              <w:autoSpaceDE w:val="0"/>
              <w:autoSpaceDN w:val="0"/>
              <w:adjustRightInd w:val="0"/>
              <w:spacing w:after="180"/>
              <w:jc w:val="left"/>
              <w:textAlignment w:val="baseline"/>
              <w:rPr>
                <w:rFonts w:ascii="Times New Roman" w:hAnsi="Times New Roman" w:eastAsia="宋体" w:cs="Times New Roman"/>
                <w:b/>
                <w:bCs/>
                <w:kern w:val="0"/>
                <w:sz w:val="20"/>
                <w:szCs w:val="20"/>
                <w:lang w:val="en-US" w:eastAsia="ja-JP"/>
              </w:rPr>
            </w:pPr>
            <w:r>
              <w:rPr>
                <w:rFonts w:ascii="Times New Roman" w:hAnsi="Times New Roman" w:eastAsia="宋体" w:cs="Times New Roman"/>
                <w:b/>
                <w:bCs/>
                <w:kern w:val="0"/>
                <w:sz w:val="20"/>
                <w:szCs w:val="20"/>
                <w:lang w:val="en-US" w:eastAsia="ja-JP"/>
              </w:rPr>
              <w:t>Issue 2: Common understanding of the UE reference architecture</w:t>
            </w:r>
          </w:p>
          <w:p>
            <w:pPr>
              <w:widowControl/>
              <w:overflowPunct w:val="0"/>
              <w:autoSpaceDE w:val="0"/>
              <w:autoSpaceDN w:val="0"/>
              <w:adjustRightInd w:val="0"/>
              <w:spacing w:after="180"/>
              <w:jc w:val="left"/>
              <w:textAlignment w:val="baseline"/>
              <w:rPr>
                <w:rFonts w:ascii="Times New Roman" w:hAnsi="Times New Roman" w:eastAsia="宋体" w:cs="Times New Roman"/>
                <w:kern w:val="0"/>
                <w:sz w:val="20"/>
                <w:szCs w:val="20"/>
                <w:lang w:val="en-US" w:eastAsia="ja-JP"/>
              </w:rPr>
            </w:pPr>
            <w:r>
              <w:rPr>
                <w:rFonts w:ascii="Times New Roman" w:hAnsi="Times New Roman" w:eastAsia="宋体" w:cs="Times New Roman"/>
                <w:kern w:val="0"/>
                <w:sz w:val="20"/>
                <w:szCs w:val="20"/>
                <w:lang w:val="en-US" w:eastAsia="ja-JP"/>
              </w:rPr>
              <w:t>RAN4 has reached the common understanding of the following aspects related to the UE reference architecture:</w:t>
            </w:r>
          </w:p>
          <w:p>
            <w:pPr>
              <w:overflowPunct w:val="0"/>
              <w:autoSpaceDE w:val="0"/>
              <w:autoSpaceDN w:val="0"/>
              <w:adjustRightInd w:val="0"/>
              <w:spacing w:after="180"/>
              <w:ind w:left="0" w:firstLine="0"/>
              <w:jc w:val="left"/>
              <w:textAlignment w:val="baseline"/>
              <w:rPr>
                <w:rFonts w:ascii="Times New Roman" w:hAnsi="Times New Roman" w:eastAsia="宋体" w:cs="Times New Roman"/>
                <w:lang w:val="en-US" w:eastAsia="ja-JP" w:bidi="ar-SA"/>
              </w:rPr>
            </w:pPr>
            <w:r>
              <w:rPr>
                <w:rFonts w:ascii="Times New Roman" w:hAnsi="Times New Roman" w:eastAsia="宋体" w:cs="Times New Roman"/>
                <w:lang w:val="en-US" w:eastAsia="ja-JP" w:bidi="ar-SA"/>
              </w:rPr>
              <w:t>-</w:t>
            </w:r>
            <w:r>
              <w:rPr>
                <w:rFonts w:ascii="Times New Roman" w:hAnsi="Times New Roman" w:eastAsia="宋体" w:cs="Times New Roman"/>
                <w:lang w:val="en-US" w:eastAsia="ja-JP" w:bidi="ar-SA"/>
              </w:rPr>
              <w:tab/>
            </w:r>
            <w:r>
              <w:rPr>
                <w:rFonts w:ascii="Times New Roman" w:hAnsi="Times New Roman" w:eastAsia="宋体" w:cs="Times New Roman"/>
                <w:lang w:val="en-US" w:eastAsia="ja-JP" w:bidi="ar-SA"/>
              </w:rPr>
              <w:t>The main path antenna is shared across Case 1 and Case 3 switching states</w:t>
            </w:r>
          </w:p>
          <w:p>
            <w:pPr>
              <w:overflowPunct w:val="0"/>
              <w:autoSpaceDE w:val="0"/>
              <w:autoSpaceDN w:val="0"/>
              <w:adjustRightInd w:val="0"/>
              <w:spacing w:after="180"/>
              <w:ind w:left="0" w:firstLine="0"/>
              <w:jc w:val="left"/>
              <w:textAlignment w:val="baseline"/>
              <w:rPr>
                <w:rFonts w:ascii="Times New Roman" w:hAnsi="Times New Roman" w:eastAsia="宋体" w:cs="Times New Roman"/>
                <w:lang w:val="en-US" w:eastAsia="ja-JP" w:bidi="ar-SA"/>
              </w:rPr>
            </w:pPr>
            <w:r>
              <w:rPr>
                <w:rFonts w:ascii="Times New Roman" w:hAnsi="Times New Roman" w:eastAsia="宋体" w:cs="Times New Roman"/>
                <w:lang w:val="en-US" w:eastAsia="ja-JP" w:bidi="ar-SA"/>
              </w:rPr>
              <w:t>-</w:t>
            </w:r>
            <w:r>
              <w:rPr>
                <w:rFonts w:ascii="Times New Roman" w:hAnsi="Times New Roman" w:eastAsia="宋体" w:cs="Times New Roman"/>
                <w:lang w:val="en-US" w:eastAsia="ja-JP" w:bidi="ar-SA"/>
              </w:rPr>
              <w:tab/>
            </w:r>
            <w:r>
              <w:rPr>
                <w:rFonts w:ascii="Times New Roman" w:hAnsi="Times New Roman" w:eastAsia="宋体" w:cs="Times New Roman"/>
                <w:lang w:val="en-US" w:eastAsia="ja-JP" w:bidi="ar-SA"/>
              </w:rPr>
              <w:t>The diversity path antenna is shared across Case 1 and Case 3 switching states</w:t>
            </w:r>
          </w:p>
          <w:p>
            <w:pPr>
              <w:overflowPunct w:val="0"/>
              <w:autoSpaceDE w:val="0"/>
              <w:autoSpaceDN w:val="0"/>
              <w:adjustRightInd w:val="0"/>
              <w:spacing w:after="180"/>
              <w:ind w:left="0" w:firstLine="0"/>
              <w:jc w:val="left"/>
              <w:textAlignment w:val="baseline"/>
              <w:rPr>
                <w:rFonts w:ascii="Times New Roman" w:hAnsi="Times New Roman" w:eastAsia="宋体" w:cs="Times New Roman"/>
                <w:lang w:val="en-US" w:eastAsia="ja-JP" w:bidi="ar-SA"/>
              </w:rPr>
            </w:pPr>
            <w:r>
              <w:rPr>
                <w:rFonts w:ascii="Times New Roman" w:hAnsi="Times New Roman" w:eastAsia="宋体" w:cs="Times New Roman"/>
                <w:lang w:val="en-US" w:eastAsia="ja-JP" w:bidi="ar-SA"/>
              </w:rPr>
              <w:t>-</w:t>
            </w:r>
            <w:r>
              <w:rPr>
                <w:rFonts w:ascii="Times New Roman" w:hAnsi="Times New Roman" w:eastAsia="宋体" w:cs="Times New Roman"/>
                <w:lang w:val="en-US" w:eastAsia="ja-JP" w:bidi="ar-SA"/>
              </w:rPr>
              <w:tab/>
            </w:r>
            <w:r>
              <w:rPr>
                <w:rFonts w:ascii="Times New Roman" w:hAnsi="Times New Roman" w:eastAsia="宋体" w:cs="Times New Roman"/>
                <w:lang w:val="en-US" w:eastAsia="ja-JP" w:bidi="ar-SA"/>
              </w:rPr>
              <w:t>UE needs to switch duplex/RF filter in the front-end across Case 1 and Case 3 switching states</w:t>
            </w:r>
          </w:p>
          <w:p>
            <w:pPr>
              <w:overflowPunct w:val="0"/>
              <w:autoSpaceDE w:val="0"/>
              <w:autoSpaceDN w:val="0"/>
              <w:adjustRightInd w:val="0"/>
              <w:spacing w:after="180"/>
              <w:ind w:left="0" w:firstLine="0"/>
              <w:jc w:val="left"/>
              <w:textAlignment w:val="baseline"/>
              <w:rPr>
                <w:rFonts w:ascii="Times New Roman" w:hAnsi="Times New Roman" w:eastAsia="宋体" w:cs="Times New Roman"/>
                <w:lang w:val="en-US" w:eastAsia="ja-JP" w:bidi="ar-SA"/>
              </w:rPr>
            </w:pPr>
            <w:r>
              <w:rPr>
                <w:rFonts w:ascii="Times New Roman" w:hAnsi="Times New Roman" w:eastAsia="宋体" w:cs="Times New Roman"/>
                <w:lang w:val="en-US" w:eastAsia="ja-JP" w:bidi="ar-SA"/>
              </w:rPr>
              <w:t>-</w:t>
            </w:r>
            <w:r>
              <w:rPr>
                <w:rFonts w:ascii="Times New Roman" w:hAnsi="Times New Roman" w:eastAsia="宋体" w:cs="Times New Roman"/>
                <w:lang w:val="en-US" w:eastAsia="ja-JP" w:bidi="ar-SA"/>
              </w:rPr>
              <w:tab/>
            </w:r>
            <w:r>
              <w:rPr>
                <w:rFonts w:ascii="Times New Roman" w:hAnsi="Times New Roman" w:eastAsia="宋体" w:cs="Times New Roman"/>
                <w:lang w:val="en-US" w:eastAsia="ja-JP" w:bidi="ar-SA"/>
              </w:rPr>
              <w:t>An example of the front end filter architecture for the case of adjacent bands is provided below for information</w:t>
            </w:r>
          </w:p>
          <w:p>
            <w:pPr>
              <w:overflowPunct w:val="0"/>
              <w:autoSpaceDE w:val="0"/>
              <w:autoSpaceDN w:val="0"/>
              <w:adjustRightInd w:val="0"/>
              <w:spacing w:after="180"/>
              <w:jc w:val="center"/>
              <w:textAlignment w:val="baseline"/>
              <w:rPr>
                <w:rFonts w:hint="eastAsia"/>
                <w:sz w:val="20"/>
                <w:szCs w:val="20"/>
                <w:vertAlign w:val="baseline"/>
                <w:lang w:val="en-US" w:eastAsia="zh-CN"/>
              </w:rPr>
            </w:pPr>
            <w:r>
              <w:rPr>
                <w:rFonts w:ascii="Times New Roman" w:hAnsi="Times New Roman" w:eastAsia="宋体" w:cs="Times New Roman"/>
                <w:kern w:val="0"/>
                <w:sz w:val="20"/>
                <w:szCs w:val="20"/>
                <w:lang w:val="en-US" w:eastAsia="zh-CN"/>
              </w:rPr>
              <w:drawing>
                <wp:inline distT="0" distB="0" distL="0" distR="0">
                  <wp:extent cx="3342005" cy="1639570"/>
                  <wp:effectExtent l="0" t="0" r="0" b="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3390545" cy="1663510"/>
                          </a:xfrm>
                          <a:prstGeom prst="rect">
                            <a:avLst/>
                          </a:prstGeom>
                          <a:noFill/>
                        </pic:spPr>
                      </pic:pic>
                    </a:graphicData>
                  </a:graphic>
                </wp:inline>
              </w:drawing>
            </w:r>
          </w:p>
        </w:tc>
      </w:tr>
    </w:tbl>
    <w:p>
      <w:pPr>
        <w:keepNext w:val="0"/>
        <w:keepLines w:val="0"/>
        <w:pageBreakBefore w:val="0"/>
        <w:widowControl/>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default"/>
          <w:sz w:val="20"/>
          <w:szCs w:val="20"/>
          <w:lang w:val="en-US" w:eastAsia="zh-CN"/>
        </w:rPr>
      </w:pPr>
      <w:r>
        <w:rPr>
          <w:rFonts w:hint="eastAsia"/>
          <w:sz w:val="20"/>
          <w:szCs w:val="20"/>
          <w:lang w:val="en-US" w:eastAsia="zh-CN"/>
        </w:rPr>
        <w:t>The UE RF reference architecture for Rel-19 switching scenarios was not discussed, but it can be found in the corresponding WID motivation paper, which is for Rel-19 and Rel-20 LBCA switching are illustrated in Figure 1.</w:t>
      </w:r>
    </w:p>
    <w:p>
      <w:pPr>
        <w:keepNext w:val="0"/>
        <w:keepLines w:val="0"/>
        <w:pageBreakBefore w:val="0"/>
        <w:widowControl/>
        <w:suppressLineNumbers w:val="0"/>
        <w:kinsoku/>
        <w:wordWrap/>
        <w:overflowPunct/>
        <w:topLinePunct w:val="0"/>
        <w:autoSpaceDE/>
        <w:autoSpaceDN/>
        <w:bidi w:val="0"/>
        <w:adjustRightInd/>
        <w:snapToGrid/>
        <w:spacing w:before="120" w:beforeLines="0" w:after="120" w:afterLines="0" w:line="240" w:lineRule="auto"/>
        <w:jc w:val="center"/>
        <w:textAlignment w:val="auto"/>
        <w:rPr>
          <w:rFonts w:hint="eastAsia"/>
          <w:sz w:val="20"/>
          <w:szCs w:val="20"/>
          <w:lang w:val="en-US" w:eastAsia="zh-CN"/>
        </w:rPr>
      </w:pPr>
      <w:r>
        <w:drawing>
          <wp:inline distT="0" distB="0" distL="114300" distR="114300">
            <wp:extent cx="1943100" cy="2682240"/>
            <wp:effectExtent l="0" t="0" r="7620" b="0"/>
            <wp:docPr id="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5"/>
                    <pic:cNvPicPr>
                      <a:picLocks noChangeAspect="1"/>
                    </pic:cNvPicPr>
                  </pic:nvPicPr>
                  <pic:blipFill>
                    <a:blip r:embed="rId15"/>
                    <a:stretch>
                      <a:fillRect/>
                    </a:stretch>
                  </pic:blipFill>
                  <pic:spPr>
                    <a:xfrm>
                      <a:off x="0" y="0"/>
                      <a:ext cx="1943100" cy="2682240"/>
                    </a:xfrm>
                    <a:prstGeom prst="rect">
                      <a:avLst/>
                    </a:prstGeom>
                    <a:noFill/>
                    <a:ln>
                      <a:noFill/>
                    </a:ln>
                  </pic:spPr>
                </pic:pic>
              </a:graphicData>
            </a:graphic>
          </wp:inline>
        </w:drawing>
      </w:r>
    </w:p>
    <w:p>
      <w:pPr>
        <w:keepNext w:val="0"/>
        <w:keepLines w:val="0"/>
        <w:pageBreakBefore w:val="0"/>
        <w:widowControl/>
        <w:suppressLineNumbers w:val="0"/>
        <w:kinsoku/>
        <w:wordWrap/>
        <w:overflowPunct/>
        <w:topLinePunct w:val="0"/>
        <w:autoSpaceDE/>
        <w:autoSpaceDN/>
        <w:bidi w:val="0"/>
        <w:adjustRightInd/>
        <w:snapToGrid/>
        <w:spacing w:before="120" w:beforeLines="0" w:after="120" w:afterLines="0" w:line="240" w:lineRule="auto"/>
        <w:jc w:val="center"/>
        <w:textAlignment w:val="auto"/>
        <w:rPr>
          <w:rFonts w:hint="eastAsia"/>
          <w:sz w:val="20"/>
          <w:szCs w:val="20"/>
          <w:lang w:val="en-US" w:eastAsia="zh-CN"/>
        </w:rPr>
      </w:pPr>
      <w:r>
        <w:rPr>
          <w:rFonts w:hint="eastAsia"/>
          <w:sz w:val="20"/>
          <w:szCs w:val="20"/>
          <w:lang w:val="en-US" w:eastAsia="zh-CN"/>
        </w:rPr>
        <w:t>Figure 1. Rel-19 LBCA switching scenario</w:t>
      </w:r>
    </w:p>
    <w:p>
      <w:pPr>
        <w:keepNext w:val="0"/>
        <w:keepLines w:val="0"/>
        <w:pageBreakBefore w:val="0"/>
        <w:widowControl/>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eastAsia"/>
          <w:sz w:val="20"/>
          <w:szCs w:val="20"/>
          <w:lang w:val="en-US" w:eastAsia="zh-CN"/>
        </w:rPr>
      </w:pPr>
      <w:r>
        <w:rPr>
          <w:rFonts w:hint="eastAsia"/>
          <w:sz w:val="20"/>
          <w:szCs w:val="20"/>
          <w:lang w:val="en-US" w:eastAsia="zh-CN"/>
        </w:rPr>
        <w:t>It can be found that the UE RF architecture are different between Rel-19 and Rel-20 LB CA switching, the main different is that a combined filter shall be used to support dual DL receiving in both SDL carrier 2 and FDD DL carrier 1 for Rel-20 dual DL switching, while for Rel-19 single DL switching, single band filter is used for either SDL carrier2 or FDD DL carrier 1.</w:t>
      </w:r>
    </w:p>
    <w:p>
      <w:pPr>
        <w:keepNext w:val="0"/>
        <w:keepLines w:val="0"/>
        <w:pageBreakBefore w:val="0"/>
        <w:widowControl/>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default"/>
          <w:b/>
          <w:bCs/>
          <w:sz w:val="20"/>
          <w:szCs w:val="20"/>
          <w:lang w:val="en-US" w:eastAsia="zh-CN"/>
        </w:rPr>
      </w:pPr>
      <w:r>
        <w:rPr>
          <w:rFonts w:hint="eastAsia"/>
          <w:b/>
          <w:bCs/>
          <w:sz w:val="20"/>
          <w:szCs w:val="20"/>
          <w:lang w:val="en-US" w:eastAsia="zh-CN"/>
        </w:rPr>
        <w:t>Observation 1: The UE RF architecture are different between Rel-19 and Rel-20 LB CA switching.</w:t>
      </w:r>
    </w:p>
    <w:p>
      <w:pPr>
        <w:keepNext w:val="0"/>
        <w:keepLines w:val="0"/>
        <w:pageBreakBefore w:val="0"/>
        <w:widowControl/>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eastAsia" w:cs="Times New Roman"/>
          <w:sz w:val="20"/>
          <w:szCs w:val="20"/>
          <w:lang w:val="en-US" w:eastAsia="zh-CN"/>
        </w:rPr>
      </w:pPr>
      <w:r>
        <w:rPr>
          <w:rFonts w:hint="eastAsia" w:cs="Times New Roman"/>
          <w:sz w:val="20"/>
          <w:szCs w:val="20"/>
          <w:lang w:val="en-US" w:eastAsia="zh-CN"/>
        </w:rPr>
        <w:t>The open issues for the UE RF architecture are:</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val="0"/>
              <w:keepLines w:val="0"/>
              <w:pageBreakBefore w:val="0"/>
              <w:widowControl/>
              <w:kinsoku/>
              <w:wordWrap/>
              <w:overflowPunct/>
              <w:topLinePunct w:val="0"/>
              <w:autoSpaceDE/>
              <w:autoSpaceDN/>
              <w:bidi w:val="0"/>
              <w:adjustRightInd/>
              <w:snapToGrid/>
              <w:spacing w:beforeLines="0" w:after="180" w:afterLines="0" w:line="240" w:lineRule="auto"/>
              <w:ind w:left="567" w:hanging="283"/>
              <w:textAlignment w:val="auto"/>
              <w:rPr>
                <w:rFonts w:ascii="Times New Roman" w:hAnsi="Times New Roman" w:eastAsia="宋体" w:cs="Times New Roman"/>
                <w:sz w:val="20"/>
                <w:lang w:val="en-US" w:eastAsia="ja-JP" w:bidi="ar-SA"/>
              </w:rPr>
            </w:pPr>
            <w:r>
              <w:rPr>
                <w:rFonts w:ascii="Times New Roman" w:hAnsi="Times New Roman" w:eastAsia="宋体" w:cs="Times New Roman"/>
                <w:sz w:val="20"/>
                <w:lang w:val="en-US" w:eastAsia="ja-JP" w:bidi="ar-SA"/>
              </w:rPr>
              <w:t>-</w:t>
            </w:r>
            <w:r>
              <w:rPr>
                <w:rFonts w:ascii="Times New Roman" w:hAnsi="Times New Roman" w:eastAsia="宋体" w:cs="Times New Roman"/>
                <w:sz w:val="20"/>
                <w:lang w:val="en-US" w:eastAsia="ja-JP" w:bidi="ar-SA"/>
              </w:rPr>
              <w:tab/>
            </w:r>
            <w:r>
              <w:rPr>
                <w:rFonts w:ascii="Times New Roman" w:hAnsi="Times New Roman" w:eastAsia="宋体" w:cs="Times New Roman"/>
                <w:sz w:val="20"/>
                <w:lang w:val="en-US" w:eastAsia="ja-JP" w:bidi="ar-SA"/>
              </w:rPr>
              <w:t>Further discuss the feasibility of a combined band n28+n67 DL filter, considering the supported bandwidth and the full band n28 implementation</w:t>
            </w:r>
          </w:p>
          <w:p>
            <w:pPr>
              <w:keepNext w:val="0"/>
              <w:keepLines w:val="0"/>
              <w:pageBreakBefore w:val="0"/>
              <w:widowControl/>
              <w:kinsoku/>
              <w:wordWrap/>
              <w:overflowPunct/>
              <w:topLinePunct w:val="0"/>
              <w:autoSpaceDE/>
              <w:autoSpaceDN/>
              <w:bidi w:val="0"/>
              <w:adjustRightInd/>
              <w:snapToGrid/>
              <w:spacing w:beforeLines="0" w:after="180" w:afterLines="0" w:line="240" w:lineRule="auto"/>
              <w:ind w:left="567" w:hanging="283"/>
              <w:textAlignment w:val="auto"/>
              <w:rPr>
                <w:rFonts w:ascii="Times New Roman" w:hAnsi="Times New Roman" w:eastAsia="宋体" w:cs="Times New Roman"/>
                <w:sz w:val="20"/>
                <w:lang w:val="en-US" w:eastAsia="ja-JP" w:bidi="ar-SA"/>
              </w:rPr>
            </w:pPr>
            <w:r>
              <w:rPr>
                <w:rFonts w:ascii="Times New Roman" w:hAnsi="Times New Roman" w:eastAsia="宋体" w:cs="Times New Roman"/>
                <w:sz w:val="20"/>
                <w:lang w:val="en-US" w:eastAsia="ja-JP" w:bidi="ar-SA"/>
              </w:rPr>
              <w:t>-</w:t>
            </w:r>
            <w:r>
              <w:rPr>
                <w:rFonts w:ascii="Times New Roman" w:hAnsi="Times New Roman" w:eastAsia="宋体" w:cs="Times New Roman"/>
                <w:sz w:val="20"/>
                <w:lang w:val="en-US" w:eastAsia="ja-JP" w:bidi="ar-SA"/>
              </w:rPr>
              <w:tab/>
            </w:r>
            <w:r>
              <w:rPr>
                <w:rFonts w:ascii="Times New Roman" w:hAnsi="Times New Roman" w:eastAsia="宋体" w:cs="Times New Roman"/>
                <w:sz w:val="20"/>
                <w:lang w:val="en-US" w:eastAsia="ja-JP" w:bidi="ar-SA"/>
              </w:rPr>
              <w:t>Whether a restriction of n28 operation to the Region 1 range 703-733/758-788 MHz is relevant for the purpose of agreeing a reference architecture when deriving minimum requirements for the feature in the CA_n28A-n67A band combination</w:t>
            </w:r>
          </w:p>
          <w:p>
            <w:pPr>
              <w:keepNext w:val="0"/>
              <w:keepLines w:val="0"/>
              <w:pageBreakBefore w:val="0"/>
              <w:widowControl/>
              <w:kinsoku/>
              <w:wordWrap/>
              <w:overflowPunct/>
              <w:topLinePunct w:val="0"/>
              <w:autoSpaceDE/>
              <w:autoSpaceDN/>
              <w:bidi w:val="0"/>
              <w:adjustRightInd/>
              <w:snapToGrid/>
              <w:spacing w:beforeLines="0" w:after="180" w:afterLines="0" w:line="240" w:lineRule="auto"/>
              <w:ind w:left="567" w:hanging="283"/>
              <w:textAlignment w:val="auto"/>
              <w:rPr>
                <w:rFonts w:ascii="Times New Roman" w:hAnsi="Times New Roman" w:eastAsia="宋体" w:cs="Times New Roman"/>
                <w:sz w:val="20"/>
                <w:lang w:val="en-US" w:eastAsia="ja-JP" w:bidi="ar-SA"/>
              </w:rPr>
            </w:pPr>
            <w:r>
              <w:rPr>
                <w:rFonts w:ascii="Times New Roman" w:hAnsi="Times New Roman" w:eastAsia="宋体" w:cs="Times New Roman"/>
                <w:sz w:val="20"/>
                <w:lang w:val="en-US" w:eastAsia="ja-JP" w:bidi="ar-SA"/>
              </w:rPr>
              <w:t>-</w:t>
            </w:r>
            <w:r>
              <w:rPr>
                <w:rFonts w:ascii="Times New Roman" w:hAnsi="Times New Roman" w:eastAsia="宋体" w:cs="Times New Roman"/>
                <w:sz w:val="20"/>
                <w:lang w:val="en-US" w:eastAsia="ja-JP" w:bidi="ar-SA"/>
              </w:rPr>
              <w:tab/>
            </w:r>
            <w:r>
              <w:rPr>
                <w:rFonts w:ascii="Times New Roman" w:hAnsi="Times New Roman" w:eastAsia="宋体" w:cs="Times New Roman"/>
                <w:sz w:val="20"/>
                <w:lang w:val="en-US" w:eastAsia="ja-JP" w:bidi="ar-SA"/>
              </w:rPr>
              <w:t>Study careful feasibility of UE Rx filter for n28 DL+ n67 for two cases, one is full band filter (738-803 MHz) and the other is a portion of n28 DL + n67 (738-788 MHz) depending on the outcome of the above</w:t>
            </w:r>
          </w:p>
          <w:p>
            <w:pPr>
              <w:overflowPunct w:val="0"/>
              <w:autoSpaceDE w:val="0"/>
              <w:autoSpaceDN w:val="0"/>
              <w:adjustRightInd w:val="0"/>
              <w:spacing w:beforeLines="0" w:after="180" w:afterLines="0" w:line="240" w:lineRule="auto"/>
              <w:ind w:left="567" w:hanging="283"/>
              <w:textAlignment w:val="baseline"/>
              <w:rPr>
                <w:rFonts w:hint="default"/>
                <w:sz w:val="20"/>
                <w:vertAlign w:val="baseline"/>
                <w:lang w:val="en-US" w:eastAsia="zh-CN"/>
              </w:rPr>
            </w:pPr>
            <w:r>
              <w:rPr>
                <w:rFonts w:ascii="Times New Roman" w:hAnsi="Times New Roman" w:eastAsia="宋体" w:cs="Times New Roman"/>
                <w:sz w:val="20"/>
                <w:lang w:val="en-US" w:eastAsia="ja-JP" w:bidi="ar-SA"/>
              </w:rPr>
              <w:t>-</w:t>
            </w:r>
            <w:r>
              <w:rPr>
                <w:rFonts w:ascii="Times New Roman" w:hAnsi="Times New Roman" w:eastAsia="宋体" w:cs="Times New Roman"/>
                <w:sz w:val="20"/>
                <w:lang w:val="en-US" w:eastAsia="ja-JP" w:bidi="ar-SA"/>
              </w:rPr>
              <w:tab/>
            </w:r>
            <w:r>
              <w:rPr>
                <w:rFonts w:ascii="Times New Roman" w:hAnsi="Times New Roman" w:eastAsia="宋体" w:cs="Times New Roman"/>
                <w:sz w:val="20"/>
                <w:lang w:val="en-US" w:eastAsia="ja-JP" w:bidi="ar-SA"/>
              </w:rPr>
              <w:t>Further discuss front end filter architecture for the case of other LB-LB CA combinations where two DL bands are separated</w:t>
            </w:r>
          </w:p>
        </w:tc>
      </w:tr>
    </w:tbl>
    <w:p>
      <w:pPr>
        <w:pStyle w:val="2"/>
        <w:rPr>
          <w:rFonts w:hint="eastAsia"/>
          <w:sz w:val="20"/>
          <w:lang w:val="en-US" w:eastAsia="zh-CN"/>
        </w:rPr>
      </w:pPr>
      <w:r>
        <w:rPr>
          <w:rFonts w:hint="eastAsia"/>
          <w:sz w:val="20"/>
          <w:lang w:val="en-US" w:eastAsia="zh-CN"/>
        </w:rPr>
        <w:t>For a combined filter to support SDL n67+ full n28 DL, the total supported maximum channel bandwidth is 60MHz (i.e. 20MHz for n67 + 40MHz for full n28 DL). In general, for a normal SAW filter, the relative channel bandwidth is about 3%~6%, then the supported channel bandwidth is about 23MHz to 46MHz, which cannot achieve 60MHz. However, for a high performance SAW filter such as TC-SAW (Temperature Compensation SAW), the relative channel bandwidth can be up to 5%~10%, then the supported channel bandwidth is about 38.4MHz to 76.8MHz. Considering a typical 8% relative channel bandwidth, the supported channel bandwidth is 61.44MHz which is also larger than 60MHz. Although the cost of TC-SAW is higher than normal SAW, it would be still feasible to use a combined filter to support SDL n67+ full n28 DL.</w:t>
      </w:r>
    </w:p>
    <w:p>
      <w:pPr>
        <w:pStyle w:val="2"/>
        <w:rPr>
          <w:rFonts w:hint="default"/>
          <w:b/>
          <w:bCs/>
          <w:sz w:val="20"/>
          <w:lang w:val="en-US" w:eastAsia="zh-CN"/>
        </w:rPr>
      </w:pPr>
      <w:r>
        <w:rPr>
          <w:rFonts w:hint="eastAsia"/>
          <w:b/>
          <w:bCs/>
          <w:sz w:val="20"/>
          <w:lang w:val="en-US" w:eastAsia="zh-CN"/>
        </w:rPr>
        <w:t xml:space="preserve">Observation 2: A high performance SAW filter would be needed to support SDL n67+ full n28 DL. </w:t>
      </w:r>
    </w:p>
    <w:p>
      <w:pPr>
        <w:pStyle w:val="2"/>
        <w:rPr>
          <w:rFonts w:hint="eastAsia"/>
          <w:sz w:val="20"/>
          <w:lang w:val="en-US" w:eastAsia="zh-CN"/>
        </w:rPr>
      </w:pPr>
      <w:r>
        <w:rPr>
          <w:rFonts w:hint="eastAsia"/>
          <w:sz w:val="20"/>
          <w:lang w:val="en-US" w:eastAsia="zh-CN"/>
        </w:rPr>
        <w:t xml:space="preserve">For the UE architecture, in our understanding, it can be applied for both full band n28 and partial n28 operation to be combined into a common filter with band n67 although there exists overlap between SDL n67 DL and FDD n28 UL as there are only SUL+FDD DL carriers </w:t>
      </w:r>
      <w:r>
        <w:rPr>
          <w:rFonts w:ascii="Times New Roman" w:hAnsi="Times New Roman" w:eastAsia="等线" w:cs="Times New Roman"/>
          <w:color w:val="000000"/>
          <w:sz w:val="20"/>
          <w:szCs w:val="20"/>
          <w:lang w:val="en-GB" w:eastAsia="en-GB" w:bidi="ar-SA"/>
        </w:rPr>
        <w:t xml:space="preserve">and no Tx on FDD carrier </w:t>
      </w:r>
      <w:r>
        <w:rPr>
          <w:rFonts w:hint="eastAsia"/>
          <w:sz w:val="20"/>
          <w:lang w:val="en-US" w:eastAsia="zh-CN"/>
        </w:rPr>
        <w:t>in case 3.</w:t>
      </w:r>
    </w:p>
    <w:p>
      <w:pPr>
        <w:pStyle w:val="2"/>
        <w:rPr>
          <w:rFonts w:hint="eastAsia" w:ascii="Times New Roman" w:hAnsi="Times New Roman" w:cs="Times New Roman"/>
          <w:b/>
          <w:bCs/>
          <w:sz w:val="20"/>
          <w:lang w:val="en-US" w:eastAsia="zh-CN"/>
        </w:rPr>
      </w:pPr>
      <w:r>
        <w:rPr>
          <w:rFonts w:hint="eastAsia"/>
          <w:b/>
          <w:bCs/>
          <w:sz w:val="20"/>
          <w:lang w:val="en-US" w:eastAsia="zh-CN"/>
        </w:rPr>
        <w:t>Observation 3: The above UE RF architecture can be applied for b</w:t>
      </w:r>
      <w:r>
        <w:rPr>
          <w:rFonts w:hint="eastAsia" w:ascii="Times New Roman" w:hAnsi="Times New Roman" w:cs="Times New Roman"/>
          <w:b/>
          <w:bCs/>
          <w:sz w:val="20"/>
          <w:lang w:val="en-US" w:eastAsia="zh-CN"/>
        </w:rPr>
        <w:t>oth full band n28 and partial n28 operation.</w:t>
      </w:r>
    </w:p>
    <w:p>
      <w:pPr>
        <w:pStyle w:val="2"/>
        <w:rPr>
          <w:rFonts w:hint="eastAsia" w:ascii="Times New Roman" w:hAnsi="Times New Roman" w:eastAsia="等线" w:cs="Times New Roman"/>
          <w:b/>
          <w:bCs/>
          <w:sz w:val="20"/>
          <w:lang w:val="en-US" w:eastAsia="zh-CN" w:bidi="ar-SA"/>
        </w:rPr>
      </w:pPr>
      <w:r>
        <w:rPr>
          <w:rFonts w:hint="eastAsia" w:ascii="Times New Roman" w:hAnsi="Times New Roman" w:cs="Times New Roman"/>
          <w:b/>
          <w:bCs/>
          <w:sz w:val="20"/>
          <w:lang w:val="en-US" w:eastAsia="zh-CN"/>
        </w:rPr>
        <w:t>Proposal 1</w:t>
      </w:r>
      <w:r>
        <w:rPr>
          <w:rFonts w:hint="eastAsia" w:cs="Times New Roman"/>
          <w:b/>
          <w:bCs/>
          <w:sz w:val="20"/>
          <w:lang w:val="en-US" w:eastAsia="zh-CN"/>
        </w:rPr>
        <w:t>:</w:t>
      </w:r>
      <w:r>
        <w:rPr>
          <w:rFonts w:hint="eastAsia" w:ascii="Times New Roman" w:hAnsi="Times New Roman" w:cs="Times New Roman"/>
          <w:b/>
          <w:bCs/>
          <w:sz w:val="20"/>
          <w:lang w:val="en-US" w:eastAsia="zh-CN"/>
        </w:rPr>
        <w:t xml:space="preserve"> With a </w:t>
      </w:r>
      <w:r>
        <w:rPr>
          <w:rFonts w:hint="eastAsia"/>
          <w:b/>
          <w:bCs/>
          <w:sz w:val="20"/>
          <w:lang w:val="en-US" w:eastAsia="zh-CN"/>
        </w:rPr>
        <w:t>high performance SAW filter, i</w:t>
      </w:r>
      <w:r>
        <w:rPr>
          <w:rFonts w:hint="eastAsia" w:ascii="Times New Roman" w:hAnsi="Times New Roman" w:cs="Times New Roman"/>
          <w:b/>
          <w:bCs/>
          <w:sz w:val="20"/>
          <w:lang w:val="en-US" w:eastAsia="zh-CN"/>
        </w:rPr>
        <w:t xml:space="preserve">t is feasible to use </w:t>
      </w:r>
      <w:r>
        <w:rPr>
          <w:rFonts w:hint="eastAsia" w:ascii="Times New Roman" w:hAnsi="Times New Roman" w:eastAsia="等线" w:cs="Times New Roman"/>
          <w:b/>
          <w:bCs/>
          <w:sz w:val="20"/>
          <w:lang w:val="en-US" w:eastAsia="zh-CN" w:bidi="ar-SA"/>
        </w:rPr>
        <w:t xml:space="preserve">a combined band n28+n67 DL filter to support 60MHz </w:t>
      </w:r>
      <w:r>
        <w:rPr>
          <w:rFonts w:hint="eastAsia" w:ascii="Times New Roman" w:hAnsi="Times New Roman" w:cs="Times New Roman"/>
          <w:b/>
          <w:bCs/>
          <w:sz w:val="20"/>
          <w:lang w:val="en-US" w:eastAsia="zh-CN" w:bidi="ar-SA"/>
        </w:rPr>
        <w:t xml:space="preserve">channel bandwidth </w:t>
      </w:r>
      <w:r>
        <w:rPr>
          <w:rFonts w:hint="eastAsia" w:ascii="Times New Roman" w:hAnsi="Times New Roman" w:eastAsia="等线" w:cs="Times New Roman"/>
          <w:b/>
          <w:bCs/>
          <w:sz w:val="20"/>
          <w:lang w:val="en-US" w:eastAsia="zh-CN" w:bidi="ar-SA"/>
        </w:rPr>
        <w:t>and the full band n28 implementation</w:t>
      </w:r>
    </w:p>
    <w:p>
      <w:pPr>
        <w:pStyle w:val="2"/>
        <w:rPr>
          <w:rFonts w:hint="eastAsia" w:ascii="Times New Roman" w:hAnsi="Times New Roman" w:cs="Times New Roman"/>
          <w:sz w:val="20"/>
          <w:szCs w:val="20"/>
          <w:lang w:val="en-US" w:eastAsia="zh-CN"/>
        </w:rPr>
      </w:pPr>
      <w:r>
        <w:rPr>
          <w:rFonts w:hint="eastAsia" w:ascii="Times New Roman" w:hAnsi="Times New Roman" w:cs="Times New Roman"/>
          <w:b w:val="0"/>
          <w:bCs w:val="0"/>
          <w:sz w:val="20"/>
          <w:lang w:val="en-US" w:eastAsia="zh-CN"/>
        </w:rPr>
        <w:t xml:space="preserve">For </w:t>
      </w:r>
      <w:r>
        <w:rPr>
          <w:rFonts w:hint="default" w:ascii="Times New Roman" w:hAnsi="Times New Roman" w:cs="Times New Roman"/>
          <w:sz w:val="20"/>
          <w:szCs w:val="20"/>
          <w:lang w:val="en-GB" w:eastAsia="en-GB"/>
        </w:rPr>
        <w:t>CA_n</w:t>
      </w:r>
      <w:r>
        <w:rPr>
          <w:rFonts w:hint="default" w:ascii="Times New Roman" w:hAnsi="Times New Roman" w:cs="Times New Roman"/>
          <w:sz w:val="20"/>
          <w:szCs w:val="20"/>
          <w:lang w:val="en-US" w:eastAsia="zh-CN"/>
        </w:rPr>
        <w:t>12</w:t>
      </w:r>
      <w:r>
        <w:rPr>
          <w:rFonts w:hint="eastAsia" w:ascii="Times New Roman" w:hAnsi="Times New Roman" w:cs="Times New Roman"/>
          <w:sz w:val="20"/>
          <w:szCs w:val="20"/>
          <w:lang w:val="en-US" w:eastAsia="zh-CN"/>
        </w:rPr>
        <w:t>A</w:t>
      </w:r>
      <w:r>
        <w:rPr>
          <w:rFonts w:hint="default" w:ascii="Times New Roman" w:hAnsi="Times New Roman" w:cs="Times New Roman"/>
          <w:sz w:val="20"/>
          <w:szCs w:val="20"/>
          <w:lang w:val="en-GB" w:eastAsia="en-GB"/>
        </w:rPr>
        <w:t>-n29</w:t>
      </w:r>
      <w:r>
        <w:rPr>
          <w:rFonts w:hint="eastAsia" w:ascii="Times New Roman" w:hAnsi="Times New Roman" w:cs="Times New Roman"/>
          <w:sz w:val="20"/>
          <w:szCs w:val="20"/>
          <w:lang w:val="en-US" w:eastAsia="zh-CN"/>
        </w:rPr>
        <w:t>A, there is only 1MHz separation between n29 DL upper edge and n12 DL lower edge. It would not possible to use two separate band filters (i.e. duplexer) to combine n12 and n29 DL in the case of the frequency of the two bands is very close. Due to there is no incumbent narrowband service in the band gap between n29 and n12 (i.e. 728~729 MHz) in Canada [4], the above example UE reference architecture can be applied.</w:t>
      </w:r>
    </w:p>
    <w:p>
      <w:pPr>
        <w:spacing w:after="0"/>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For some other scenario like CA_n5A-n29A, CA_n14A-n29A, CA_n29A-n71A, the frequency gap for these low low CA scenarios are large, then it requires two separate filters for the two DL band. It</w:t>
      </w:r>
      <w:r>
        <w:rPr>
          <w:rFonts w:eastAsia="Arial"/>
          <w:lang w:val="en-US"/>
        </w:rPr>
        <w:t xml:space="preserve"> is illustrated in Figure 3.</w:t>
      </w:r>
    </w:p>
    <w:p>
      <w:pPr>
        <w:pStyle w:val="2"/>
        <w:jc w:val="center"/>
      </w:pPr>
      <w:r>
        <w:drawing>
          <wp:inline distT="0" distB="0" distL="114300" distR="114300">
            <wp:extent cx="2058035" cy="2357755"/>
            <wp:effectExtent l="0" t="0" r="14605" b="4445"/>
            <wp:docPr id="9"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7"/>
                    <pic:cNvPicPr>
                      <a:picLocks noChangeAspect="1"/>
                    </pic:cNvPicPr>
                  </pic:nvPicPr>
                  <pic:blipFill>
                    <a:blip r:embed="rId16"/>
                    <a:stretch>
                      <a:fillRect/>
                    </a:stretch>
                  </pic:blipFill>
                  <pic:spPr>
                    <a:xfrm>
                      <a:off x="0" y="0"/>
                      <a:ext cx="2058035" cy="2357755"/>
                    </a:xfrm>
                    <a:prstGeom prst="rect">
                      <a:avLst/>
                    </a:prstGeom>
                    <a:noFill/>
                    <a:ln>
                      <a:noFill/>
                    </a:ln>
                  </pic:spPr>
                </pic:pic>
              </a:graphicData>
            </a:graphic>
          </wp:inline>
        </w:drawing>
      </w:r>
    </w:p>
    <w:p>
      <w:pPr>
        <w:keepNext w:val="0"/>
        <w:keepLines w:val="0"/>
        <w:pageBreakBefore w:val="0"/>
        <w:widowControl/>
        <w:suppressLineNumbers w:val="0"/>
        <w:kinsoku/>
        <w:wordWrap/>
        <w:overflowPunct/>
        <w:topLinePunct w:val="0"/>
        <w:autoSpaceDE/>
        <w:autoSpaceDN/>
        <w:bidi w:val="0"/>
        <w:adjustRightInd/>
        <w:snapToGrid/>
        <w:spacing w:before="120" w:beforeLines="0" w:after="120" w:afterLines="0" w:line="240" w:lineRule="auto"/>
        <w:jc w:val="center"/>
        <w:textAlignment w:val="auto"/>
        <w:rPr>
          <w:rFonts w:hint="default"/>
          <w:sz w:val="20"/>
          <w:szCs w:val="20"/>
          <w:lang w:val="en-US" w:eastAsia="zh-CN"/>
        </w:rPr>
      </w:pPr>
      <w:r>
        <w:rPr>
          <w:rFonts w:hint="eastAsia"/>
          <w:sz w:val="20"/>
          <w:szCs w:val="20"/>
          <w:lang w:val="en-US" w:eastAsia="zh-CN"/>
        </w:rPr>
        <w:t xml:space="preserve">Figure 2. Main path for the architecture of LBCA switching scenarios have large </w:t>
      </w:r>
      <w:r>
        <w:rPr>
          <w:rFonts w:hint="eastAsia" w:ascii="Times New Roman" w:hAnsi="Times New Roman" w:cs="Times New Roman"/>
          <w:sz w:val="20"/>
          <w:szCs w:val="20"/>
          <w:lang w:val="en-US" w:eastAsia="zh-CN"/>
        </w:rPr>
        <w:t>frequency gap</w:t>
      </w:r>
    </w:p>
    <w:p>
      <w:pPr>
        <w:pStyle w:val="2"/>
        <w:jc w:val="left"/>
        <w:rPr>
          <w:rFonts w:hint="default" w:ascii="Times New Roman" w:hAnsi="Times New Roman" w:cs="Times New Roman"/>
          <w:b/>
          <w:bCs/>
          <w:sz w:val="20"/>
          <w:lang w:val="en-US" w:eastAsia="zh-CN"/>
        </w:rPr>
      </w:pPr>
      <w:r>
        <w:rPr>
          <w:rFonts w:hint="eastAsia" w:ascii="Times New Roman" w:hAnsi="Times New Roman" w:cs="Times New Roman"/>
          <w:b/>
          <w:bCs/>
          <w:sz w:val="20"/>
          <w:lang w:val="en-US" w:eastAsia="zh-CN"/>
        </w:rPr>
        <w:t>Proposal 2</w:t>
      </w:r>
      <w:r>
        <w:rPr>
          <w:rFonts w:hint="eastAsia" w:cs="Times New Roman"/>
          <w:b/>
          <w:bCs/>
          <w:sz w:val="20"/>
          <w:lang w:val="en-US" w:eastAsia="zh-CN"/>
        </w:rPr>
        <w:t>:</w:t>
      </w:r>
      <w:r>
        <w:rPr>
          <w:rFonts w:hint="eastAsia" w:ascii="Times New Roman" w:hAnsi="Times New Roman" w:cs="Times New Roman"/>
          <w:b/>
          <w:bCs/>
          <w:sz w:val="20"/>
          <w:lang w:val="en-US" w:eastAsia="zh-CN"/>
        </w:rPr>
        <w:t xml:space="preserve"> Two separate filters for the two DL band is needed for the LBCA switching scenario with large separation between two DL bands.</w:t>
      </w:r>
    </w:p>
    <w:p>
      <w:pPr>
        <w:pStyle w:val="2"/>
        <w:jc w:val="left"/>
        <w:rPr>
          <w:rFonts w:hint="default"/>
          <w:sz w:val="20"/>
          <w:szCs w:val="20"/>
          <w:lang w:val="en-US" w:eastAsia="zh-CN"/>
        </w:rPr>
      </w:pPr>
      <w:r>
        <w:rPr>
          <w:rFonts w:hint="eastAsia"/>
          <w:sz w:val="20"/>
          <w:szCs w:val="20"/>
          <w:lang w:val="en-US" w:eastAsia="zh-CN"/>
        </w:rPr>
        <w:t>REFSENS:</w:t>
      </w:r>
    </w:p>
    <w:p>
      <w:pPr>
        <w:pStyle w:val="2"/>
        <w:jc w:val="left"/>
        <w:rPr>
          <w:rFonts w:hint="eastAsia" w:cs="Times New Roman"/>
          <w:color w:val="000000"/>
          <w:sz w:val="20"/>
          <w:szCs w:val="20"/>
          <w:lang w:val="en-US" w:eastAsia="zh-CN" w:bidi="ar-SA"/>
        </w:rPr>
      </w:pPr>
      <w:r>
        <w:rPr>
          <w:rFonts w:hint="eastAsia" w:cs="Times New Roman"/>
          <w:color w:val="000000"/>
          <w:sz w:val="20"/>
          <w:szCs w:val="20"/>
          <w:lang w:val="en-US" w:eastAsia="zh-CN" w:bidi="ar-SA"/>
        </w:rPr>
        <w:t xml:space="preserve">The SDL band, </w:t>
      </w:r>
      <w:r>
        <w:rPr>
          <w:rFonts w:cs="Arial"/>
          <w:szCs w:val="18"/>
        </w:rPr>
        <w:t>the reference sensitivity requirements shall be verified by inter-band CA combinations with SDL band, which are supported by UE.</w:t>
      </w:r>
      <w:r>
        <w:rPr>
          <w:rFonts w:hint="eastAsia" w:cs="Arial"/>
          <w:szCs w:val="18"/>
          <w:lang w:val="en-US" w:eastAsia="zh-CN"/>
        </w:rPr>
        <w:t xml:space="preserve"> </w:t>
      </w:r>
      <w:r>
        <w:rPr>
          <w:rFonts w:hint="eastAsia"/>
          <w:sz w:val="20"/>
          <w:szCs w:val="20"/>
          <w:lang w:val="en-US" w:eastAsia="zh-CN"/>
        </w:rPr>
        <w:t>For inter-band CA, t</w:t>
      </w:r>
      <w:r>
        <w:t xml:space="preserve">he reference sensitivity is defined to be met with </w:t>
      </w:r>
      <w:r>
        <w:rPr>
          <w:lang w:eastAsia="zh-CN"/>
        </w:rPr>
        <w:t>all</w:t>
      </w:r>
      <w:r>
        <w:t xml:space="preserve"> downlink component carriers active and one of the uplink carriers active</w:t>
      </w:r>
      <w:r>
        <w:rPr>
          <w:rFonts w:hint="eastAsia"/>
          <w:lang w:val="en-US" w:eastAsia="zh-CN"/>
        </w:rPr>
        <w:t xml:space="preserve">. Obviously, it is not applied to R20 </w:t>
      </w:r>
      <w:r>
        <w:rPr>
          <w:rFonts w:hint="eastAsia"/>
          <w:sz w:val="20"/>
          <w:szCs w:val="20"/>
          <w:lang w:val="en-US" w:eastAsia="zh-CN"/>
        </w:rPr>
        <w:t xml:space="preserve">LBCA switching due to there are </w:t>
      </w:r>
      <w:r>
        <w:rPr>
          <w:rFonts w:ascii="Times New Roman" w:hAnsi="Times New Roman" w:eastAsia="等线" w:cs="Times New Roman"/>
          <w:color w:val="000000"/>
          <w:sz w:val="20"/>
          <w:szCs w:val="20"/>
          <w:lang w:val="en-GB" w:eastAsia="en-GB" w:bidi="ar-SA"/>
        </w:rPr>
        <w:t xml:space="preserve">no Tx on </w:t>
      </w:r>
      <w:r>
        <w:rPr>
          <w:rFonts w:hint="eastAsia" w:cs="Times New Roman"/>
          <w:color w:val="000000"/>
          <w:sz w:val="20"/>
          <w:szCs w:val="20"/>
          <w:lang w:val="en-US" w:eastAsia="zh-CN" w:bidi="ar-SA"/>
        </w:rPr>
        <w:t xml:space="preserve">both </w:t>
      </w:r>
      <w:r>
        <w:rPr>
          <w:rFonts w:ascii="Times New Roman" w:hAnsi="Times New Roman" w:eastAsia="等线" w:cs="Times New Roman"/>
          <w:color w:val="000000"/>
          <w:sz w:val="20"/>
          <w:szCs w:val="20"/>
          <w:lang w:val="en-GB" w:eastAsia="en-GB" w:bidi="ar-SA"/>
        </w:rPr>
        <w:t xml:space="preserve">FDD carrier </w:t>
      </w:r>
      <w:r>
        <w:rPr>
          <w:rFonts w:hint="eastAsia" w:cs="Times New Roman"/>
          <w:color w:val="000000"/>
          <w:sz w:val="20"/>
          <w:szCs w:val="20"/>
          <w:lang w:val="en-US" w:eastAsia="zh-CN" w:bidi="ar-SA"/>
        </w:rPr>
        <w:t xml:space="preserve">and SDL carrier. </w:t>
      </w:r>
    </w:p>
    <w:p>
      <w:pPr>
        <w:pStyle w:val="2"/>
        <w:jc w:val="left"/>
        <w:rPr>
          <w:rFonts w:hint="eastAsia" w:cs="Times New Roman"/>
          <w:color w:val="000000"/>
          <w:sz w:val="20"/>
          <w:szCs w:val="20"/>
          <w:lang w:val="en-US" w:eastAsia="zh-CN" w:bidi="ar-SA"/>
        </w:rPr>
      </w:pPr>
      <w:r>
        <w:rPr>
          <w:rFonts w:hint="eastAsia" w:cs="Times New Roman"/>
          <w:color w:val="000000"/>
          <w:sz w:val="20"/>
          <w:szCs w:val="20"/>
          <w:lang w:val="en-US" w:eastAsia="zh-CN" w:bidi="ar-SA"/>
        </w:rPr>
        <w:t xml:space="preserve">The REFSENS values for SDL band are defined as equation-based scaling with RB number, it is the same with TDD approaches without considering the self-interference from Tx carrier. </w:t>
      </w:r>
    </w:p>
    <w:p>
      <w:pPr>
        <w:pStyle w:val="2"/>
        <w:jc w:val="left"/>
        <w:rPr>
          <w:rFonts w:hint="eastAsia"/>
          <w:sz w:val="20"/>
          <w:szCs w:val="20"/>
          <w:lang w:val="en-US" w:eastAsia="zh-CN"/>
        </w:rPr>
      </w:pPr>
      <w:r>
        <w:rPr>
          <w:rFonts w:hint="eastAsia" w:cs="Times New Roman"/>
          <w:color w:val="000000"/>
          <w:sz w:val="20"/>
          <w:szCs w:val="20"/>
          <w:lang w:val="en-US" w:eastAsia="zh-CN" w:bidi="ar-SA"/>
        </w:rPr>
        <w:t xml:space="preserve">For </w:t>
      </w:r>
      <w:r>
        <w:rPr>
          <w:rFonts w:hint="eastAsia"/>
          <w:lang w:val="en-US" w:eastAsia="zh-CN"/>
        </w:rPr>
        <w:t xml:space="preserve">R20 </w:t>
      </w:r>
      <w:r>
        <w:rPr>
          <w:rFonts w:hint="eastAsia"/>
          <w:sz w:val="20"/>
          <w:szCs w:val="20"/>
          <w:lang w:val="en-US" w:eastAsia="zh-CN"/>
        </w:rPr>
        <w:t>LBCA switching, we think the existing REFSENS requirements for FDD single carrier with Tx/Rx and SDL carrier should be kept. For REFSENS requirements for FDD single carrier with Rx only, relaxed values can be considered.The relaxed value may be -100+</w:t>
      </w:r>
      <w:r>
        <w:rPr>
          <w:rFonts w:hint="eastAsia"/>
          <w:sz w:val="20"/>
          <w:szCs w:val="20"/>
          <w:lang w:val="en-US" w:eastAsia="zh-TW"/>
        </w:rPr>
        <w:t>10log10(NRB/25)</w:t>
      </w:r>
      <w:r>
        <w:rPr>
          <w:rFonts w:hint="eastAsia"/>
          <w:sz w:val="20"/>
          <w:szCs w:val="20"/>
          <w:lang w:val="en-US" w:eastAsia="zh-CN"/>
        </w:rPr>
        <w:t>, which is same with other FDD band like n1 supporting 5MHz who has no impact from its Tx due to large separation.</w:t>
      </w:r>
    </w:p>
    <w:p>
      <w:pPr>
        <w:pStyle w:val="2"/>
        <w:jc w:val="left"/>
        <w:rPr>
          <w:rFonts w:hint="eastAsia"/>
          <w:b/>
          <w:bCs/>
          <w:sz w:val="20"/>
          <w:szCs w:val="20"/>
          <w:lang w:val="en-US" w:eastAsia="zh-CN"/>
        </w:rPr>
      </w:pPr>
      <w:r>
        <w:rPr>
          <w:rFonts w:hint="eastAsia" w:ascii="Times New Roman" w:hAnsi="Times New Roman" w:cs="Times New Roman"/>
          <w:b/>
          <w:bCs/>
          <w:sz w:val="20"/>
          <w:lang w:val="en-US" w:eastAsia="zh-CN"/>
        </w:rPr>
        <w:t xml:space="preserve">Proposal </w:t>
      </w:r>
      <w:r>
        <w:rPr>
          <w:rFonts w:hint="eastAsia" w:cs="Times New Roman"/>
          <w:b/>
          <w:bCs/>
          <w:sz w:val="20"/>
          <w:lang w:val="en-US" w:eastAsia="zh-CN"/>
        </w:rPr>
        <w:t>3:</w:t>
      </w:r>
      <w:r>
        <w:rPr>
          <w:rFonts w:hint="eastAsia" w:ascii="Times New Roman" w:hAnsi="Times New Roman" w:cs="Times New Roman"/>
          <w:b/>
          <w:bCs/>
          <w:sz w:val="20"/>
          <w:lang w:val="en-US" w:eastAsia="zh-CN"/>
        </w:rPr>
        <w:t xml:space="preserve"> </w:t>
      </w:r>
      <w:r>
        <w:rPr>
          <w:rFonts w:hint="eastAsia" w:cs="Times New Roman"/>
          <w:b/>
          <w:bCs/>
          <w:sz w:val="20"/>
          <w:lang w:val="en-US" w:eastAsia="zh-CN"/>
        </w:rPr>
        <w:t xml:space="preserve">For FDD carrier with Tx/Rx, </w:t>
      </w:r>
      <w:r>
        <w:rPr>
          <w:rFonts w:hint="eastAsia"/>
          <w:b/>
          <w:bCs/>
          <w:sz w:val="20"/>
          <w:szCs w:val="20"/>
          <w:lang w:val="en-US" w:eastAsia="zh-CN"/>
        </w:rPr>
        <w:t xml:space="preserve">the existing </w:t>
      </w:r>
      <w:r>
        <w:rPr>
          <w:rFonts w:hint="eastAsia" w:cs="Times New Roman"/>
          <w:b/>
          <w:bCs/>
          <w:sz w:val="20"/>
          <w:lang w:val="en-US" w:eastAsia="zh-CN"/>
        </w:rPr>
        <w:t xml:space="preserve">REFSENS requirements </w:t>
      </w:r>
      <w:r>
        <w:rPr>
          <w:rFonts w:hint="eastAsia"/>
          <w:b/>
          <w:bCs/>
          <w:sz w:val="20"/>
          <w:szCs w:val="20"/>
          <w:lang w:val="en-US" w:eastAsia="zh-CN"/>
        </w:rPr>
        <w:t xml:space="preserve">can be reused. For FDD carrier with Rx only, relax </w:t>
      </w:r>
      <w:r>
        <w:rPr>
          <w:rFonts w:hint="eastAsia" w:cs="Times New Roman"/>
          <w:b/>
          <w:bCs/>
          <w:sz w:val="20"/>
          <w:lang w:val="en-US" w:eastAsia="zh-CN"/>
        </w:rPr>
        <w:t xml:space="preserve">REFSENS requirements </w:t>
      </w:r>
      <w:r>
        <w:rPr>
          <w:rFonts w:hint="eastAsia"/>
          <w:b/>
          <w:bCs/>
          <w:sz w:val="20"/>
          <w:szCs w:val="20"/>
          <w:lang w:val="en-US" w:eastAsia="zh-CN"/>
        </w:rPr>
        <w:t>should be consider without Tx impacts.</w:t>
      </w:r>
    </w:p>
    <w:p>
      <w:pPr>
        <w:pStyle w:val="2"/>
        <w:jc w:val="left"/>
        <w:rPr>
          <w:rFonts w:hint="eastAsia"/>
          <w:b/>
          <w:bCs/>
          <w:sz w:val="20"/>
          <w:szCs w:val="20"/>
          <w:lang w:val="en-US" w:eastAsia="zh-CN"/>
        </w:rPr>
      </w:pPr>
      <w:r>
        <w:rPr>
          <w:rFonts w:hint="eastAsia"/>
          <w:b/>
          <w:bCs/>
          <w:sz w:val="20"/>
          <w:szCs w:val="20"/>
          <w:lang w:val="en-US" w:eastAsia="zh-CN"/>
        </w:rPr>
        <w:t xml:space="preserve">Proposal 4: For SDL carrier, the existing </w:t>
      </w:r>
      <w:r>
        <w:rPr>
          <w:rFonts w:hint="eastAsia" w:cs="Times New Roman"/>
          <w:b/>
          <w:bCs/>
          <w:sz w:val="20"/>
          <w:lang w:val="en-US" w:eastAsia="zh-CN"/>
        </w:rPr>
        <w:t xml:space="preserve">REFSENS requirements </w:t>
      </w:r>
      <w:r>
        <w:rPr>
          <w:rFonts w:hint="eastAsia"/>
          <w:b/>
          <w:bCs/>
          <w:sz w:val="20"/>
          <w:szCs w:val="20"/>
          <w:lang w:val="en-US" w:eastAsia="zh-CN"/>
        </w:rPr>
        <w:t xml:space="preserve">can be reused. </w:t>
      </w:r>
    </w:p>
    <w:p>
      <w:pPr>
        <w:pStyle w:val="2"/>
        <w:jc w:val="left"/>
        <w:rPr>
          <w:rFonts w:hint="default"/>
          <w:b/>
          <w:bCs/>
          <w:sz w:val="20"/>
          <w:szCs w:val="20"/>
          <w:lang w:val="en-US" w:eastAsia="zh-CN"/>
        </w:rPr>
      </w:pPr>
      <w:r>
        <w:rPr>
          <w:rFonts w:hint="eastAsia"/>
          <w:b/>
          <w:bCs/>
          <w:sz w:val="20"/>
          <w:szCs w:val="20"/>
          <w:lang w:val="en-US" w:eastAsia="zh-CN"/>
        </w:rPr>
        <w:t>Proposal 5: For SDL+FDD carrier use wideband receiver filter, the reference sensitivity is defined to be met with all downlink component carriers active without the uplink carriers active.</w:t>
      </w:r>
    </w:p>
    <w:p>
      <w:pPr>
        <w:pStyle w:val="2"/>
        <w:jc w:val="left"/>
        <w:rPr>
          <w:rFonts w:hint="eastAsia"/>
          <w:sz w:val="20"/>
          <w:szCs w:val="20"/>
          <w:lang w:val="en-US" w:eastAsia="zh-CN"/>
        </w:rPr>
      </w:pPr>
      <w:r>
        <w:rPr>
          <w:rFonts w:hint="eastAsia"/>
          <w:sz w:val="20"/>
          <w:szCs w:val="20"/>
          <w:lang w:val="en-US" w:eastAsia="zh-CN"/>
        </w:rPr>
        <w:t>For the co-existence issue in the WF:</w:t>
      </w:r>
    </w:p>
    <w:p>
      <w:pPr>
        <w:pStyle w:val="2"/>
        <w:jc w:val="left"/>
        <w:rPr>
          <w:rFonts w:hint="eastAsia"/>
          <w:sz w:val="20"/>
          <w:szCs w:val="20"/>
          <w:lang w:val="en-US" w:eastAsia="zh-CN"/>
        </w:rPr>
      </w:pPr>
      <w:r>
        <w:rPr>
          <w:rFonts w:hint="eastAsia"/>
          <w:sz w:val="20"/>
          <w:szCs w:val="20"/>
          <w:lang w:val="en-US" w:eastAsia="zh-CN"/>
        </w:rPr>
        <w:t>1. For the UE-UE co-existence: In the specification, there is spurious emission for UE co-existence requirements. However, there is neither E-UTRA 29 (i.e. NR n29) as protected band in n12 nor E-UTRA 67 (i.e. NR n67) in the TS38.101-1. The frequency of n29 is close to n12, then the ACLR/SEM could be used as a metric to restrict the emission from band n12 (especially high part) falls into the n29. If not, the possible interference can also be alleviated by N</w:t>
      </w:r>
      <w:r>
        <w:rPr>
          <w:rFonts w:hint="eastAsia" w:ascii="Times New Roman" w:hAnsi="Times New Roman" w:cs="Times New Roman"/>
          <w:sz w:val="20"/>
          <w:szCs w:val="20"/>
          <w:lang w:val="en-US" w:eastAsia="zh-CN"/>
        </w:rPr>
        <w:t xml:space="preserve">W scheduling, i.e. the band n12 high part is not scheduled in the case of n29+n12 DL exists, or by the physical distance between the two UEs. Similarity as n28-n67. For the letter one, the possible </w:t>
      </w:r>
      <w:r>
        <w:rPr>
          <w:rFonts w:hint="eastAsia"/>
          <w:sz w:val="20"/>
          <w:szCs w:val="20"/>
          <w:lang w:val="en-US" w:eastAsia="zh-CN"/>
        </w:rPr>
        <w:t>interference can also be alleviated by restricting n28 to the low part range (i.e. 703MHz~733MHz).</w:t>
      </w:r>
    </w:p>
    <w:p>
      <w:pPr>
        <w:pStyle w:val="2"/>
        <w:jc w:val="left"/>
        <w:rPr>
          <w:rFonts w:hint="default" w:eastAsia="等线"/>
          <w:sz w:val="20"/>
          <w:szCs w:val="20"/>
          <w:lang w:val="en-US" w:eastAsia="zh-CN"/>
        </w:rPr>
      </w:pPr>
      <w:r>
        <w:rPr>
          <w:rFonts w:hint="eastAsia"/>
          <w:sz w:val="20"/>
          <w:szCs w:val="20"/>
          <w:lang w:val="en-US" w:eastAsia="zh-CN"/>
        </w:rPr>
        <w:t>2. For the BS-BS co-existence: For single band n12, there is a NOTE 5 to describe the a</w:t>
      </w:r>
      <w:r>
        <w:rPr>
          <w:sz w:val="20"/>
          <w:szCs w:val="20"/>
        </w:rPr>
        <w:t>dditional spurious emissions requirements</w:t>
      </w:r>
      <w:r>
        <w:rPr>
          <w:rFonts w:hint="eastAsia"/>
          <w:sz w:val="20"/>
          <w:szCs w:val="20"/>
          <w:lang w:val="en-US" w:eastAsia="zh-CN"/>
        </w:rPr>
        <w:t xml:space="preserve"> for NR BS operating in n29, see below: </w:t>
      </w:r>
    </w:p>
    <w:tbl>
      <w:tblPr>
        <w:tblStyle w:val="24"/>
        <w:tblW w:w="9693"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1302"/>
        <w:gridCol w:w="1701"/>
        <w:gridCol w:w="851"/>
        <w:gridCol w:w="1417"/>
        <w:gridCol w:w="442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66"/>
              <w:rPr>
                <w:rFonts w:cs="Arial"/>
              </w:rPr>
            </w:pPr>
            <w:r>
              <w:rPr>
                <w:rFonts w:cs="Arial"/>
              </w:rPr>
              <w:t>System type for NR to co-exist with</w:t>
            </w:r>
          </w:p>
        </w:tc>
        <w:tc>
          <w:tcPr>
            <w:tcW w:w="1701" w:type="dxa"/>
            <w:tcBorders>
              <w:top w:val="single" w:color="auto" w:sz="2" w:space="0"/>
              <w:left w:val="single" w:color="auto" w:sz="2" w:space="0"/>
              <w:bottom w:val="single" w:color="auto" w:sz="2" w:space="0"/>
              <w:right w:val="single" w:color="auto" w:sz="2" w:space="0"/>
            </w:tcBorders>
          </w:tcPr>
          <w:p>
            <w:pPr>
              <w:pStyle w:val="66"/>
              <w:rPr>
                <w:rFonts w:cs="Arial"/>
              </w:rPr>
            </w:pPr>
            <w:r>
              <w:rPr>
                <w:rFonts w:cs="Arial"/>
              </w:rPr>
              <w:t>Frequency range for co-existence requirement</w:t>
            </w:r>
          </w:p>
        </w:tc>
        <w:tc>
          <w:tcPr>
            <w:tcW w:w="851" w:type="dxa"/>
            <w:tcBorders>
              <w:top w:val="single" w:color="auto" w:sz="2" w:space="0"/>
              <w:left w:val="single" w:color="auto" w:sz="2" w:space="0"/>
              <w:bottom w:val="single" w:color="auto" w:sz="2" w:space="0"/>
              <w:right w:val="single" w:color="auto" w:sz="2" w:space="0"/>
            </w:tcBorders>
          </w:tcPr>
          <w:p>
            <w:pPr>
              <w:pStyle w:val="66"/>
              <w:rPr>
                <w:rFonts w:cs="Arial"/>
                <w:i/>
              </w:rPr>
            </w:pPr>
            <w:r>
              <w:rPr>
                <w:rFonts w:cs="v5.0.0"/>
                <w:i/>
              </w:rPr>
              <w:t>Basic limits</w:t>
            </w:r>
          </w:p>
        </w:tc>
        <w:tc>
          <w:tcPr>
            <w:tcW w:w="1417" w:type="dxa"/>
            <w:tcBorders>
              <w:top w:val="single" w:color="auto" w:sz="2" w:space="0"/>
              <w:left w:val="single" w:color="auto" w:sz="2" w:space="0"/>
              <w:bottom w:val="single" w:color="auto" w:sz="2" w:space="0"/>
              <w:right w:val="single" w:color="auto" w:sz="2" w:space="0"/>
            </w:tcBorders>
          </w:tcPr>
          <w:p>
            <w:pPr>
              <w:pStyle w:val="66"/>
              <w:rPr>
                <w:rFonts w:cs="Arial"/>
              </w:rPr>
            </w:pPr>
            <w:r>
              <w:rPr>
                <w:rFonts w:cs="Arial"/>
                <w:i/>
              </w:rPr>
              <w:t>Measurement bandwidth</w:t>
            </w:r>
          </w:p>
        </w:tc>
        <w:tc>
          <w:tcPr>
            <w:tcW w:w="4422" w:type="dxa"/>
            <w:tcBorders>
              <w:top w:val="single" w:color="auto" w:sz="2" w:space="0"/>
              <w:left w:val="single" w:color="auto" w:sz="2" w:space="0"/>
              <w:bottom w:val="single" w:color="auto" w:sz="2" w:space="0"/>
              <w:right w:val="single" w:color="auto" w:sz="2" w:space="0"/>
            </w:tcBorders>
          </w:tcPr>
          <w:p>
            <w:pPr>
              <w:pStyle w:val="66"/>
              <w:rPr>
                <w:rFonts w:cs="Arial"/>
              </w:rPr>
            </w:pPr>
            <w:r>
              <w:rPr>
                <w:rFonts w:cs="Arial"/>
              </w:rPr>
              <w:t>Note</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cantSplit/>
          <w:jc w:val="center"/>
        </w:trPr>
        <w:tc>
          <w:tcPr>
            <w:tcW w:w="1302" w:type="dxa"/>
            <w:tcBorders>
              <w:top w:val="nil"/>
              <w:left w:val="single" w:color="auto" w:sz="2" w:space="0"/>
              <w:bottom w:val="single" w:color="auto" w:sz="2" w:space="0"/>
              <w:right w:val="single" w:color="auto" w:sz="2" w:space="0"/>
            </w:tcBorders>
          </w:tcPr>
          <w:p>
            <w:pPr>
              <w:pStyle w:val="58"/>
            </w:pPr>
            <w:r>
              <w:rPr>
                <w:rFonts w:cs="Arial"/>
                <w:lang w:val="sv-SE"/>
              </w:rPr>
              <w:t>E-UTRA Band 12 or NR Band n12</w:t>
            </w:r>
          </w:p>
        </w:tc>
        <w:tc>
          <w:tcPr>
            <w:tcW w:w="1701" w:type="dxa"/>
            <w:tcBorders>
              <w:top w:val="single" w:color="auto" w:sz="2" w:space="0"/>
              <w:left w:val="single" w:color="auto" w:sz="2" w:space="0"/>
              <w:bottom w:val="single" w:color="auto" w:sz="2" w:space="0"/>
              <w:right w:val="single" w:color="auto" w:sz="2" w:space="0"/>
            </w:tcBorders>
          </w:tcPr>
          <w:p>
            <w:pPr>
              <w:pStyle w:val="58"/>
              <w:rPr>
                <w:rFonts w:cs="Arial"/>
              </w:rPr>
            </w:pPr>
            <w:r>
              <w:rPr>
                <w:rFonts w:cs="Arial"/>
              </w:rPr>
              <w:t>699 – 716 MHz</w:t>
            </w:r>
          </w:p>
        </w:tc>
        <w:tc>
          <w:tcPr>
            <w:tcW w:w="851" w:type="dxa"/>
            <w:tcBorders>
              <w:top w:val="single" w:color="auto" w:sz="2" w:space="0"/>
              <w:left w:val="single" w:color="auto" w:sz="2" w:space="0"/>
              <w:bottom w:val="single" w:color="auto" w:sz="2" w:space="0"/>
              <w:right w:val="single" w:color="auto" w:sz="2" w:space="0"/>
            </w:tcBorders>
          </w:tcPr>
          <w:p>
            <w:pPr>
              <w:pStyle w:val="58"/>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58"/>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59"/>
              <w:jc w:val="left"/>
              <w:rPr>
                <w:rFonts w:cs="v5.0.0"/>
              </w:rPr>
            </w:pPr>
            <w:r>
              <w:rPr>
                <w:rFonts w:cs="Arial"/>
              </w:rPr>
              <w:t>This requirement does not apply to BS operating in band n12 or n85,</w:t>
            </w:r>
            <w:r>
              <w:rPr>
                <w:rFonts w:cs="v5.0.0"/>
              </w:rPr>
              <w:t xml:space="preserve"> since it is already covered by the requirement in clause 6.6.5.2.2.</w:t>
            </w:r>
          </w:p>
          <w:p>
            <w:pPr>
              <w:pStyle w:val="58"/>
              <w:jc w:val="left"/>
              <w:rPr>
                <w:rFonts w:cs="Arial"/>
              </w:rPr>
            </w:pPr>
            <w:r>
              <w:rPr>
                <w:rFonts w:cs="Arial"/>
              </w:rPr>
              <w:t>For NR BS operating in n29, it</w:t>
            </w:r>
            <w:r>
              <w:rPr>
                <w:rFonts w:eastAsia="MS PGothic" w:cs="Arial"/>
                <w:kern w:val="24"/>
                <w:szCs w:val="22"/>
              </w:rPr>
              <w:t xml:space="preserve"> applies 1 MHz below the Band n29 downlink operating band (Note 5).</w:t>
            </w:r>
          </w:p>
        </w:tc>
      </w:tr>
    </w:tbl>
    <w:p>
      <w:pPr>
        <w:pStyle w:val="64"/>
        <w:rPr>
          <w:i/>
          <w:iCs/>
        </w:rPr>
      </w:pPr>
      <w:r>
        <w:rPr>
          <w:i/>
          <w:iCs/>
        </w:rPr>
        <w:t>NOTE 5:</w:t>
      </w:r>
      <w:r>
        <w:rPr>
          <w:i/>
          <w:iCs/>
        </w:rPr>
        <w:tab/>
      </w:r>
      <w:r>
        <w:rPr>
          <w:i/>
          <w:iCs/>
        </w:rPr>
        <w:t>For NR Band n29 BS, specific solutions may be required to fulfil the spurious emissions limits for NR BS for co-existence with UTRA Band XII, E-UTRA Band 12 or NR Band n12 UL operating band, E-UTRA Band 17 UL operating band</w:t>
      </w:r>
      <w:bookmarkStart w:id="12" w:name="_Hlk506220100"/>
      <w:r>
        <w:rPr>
          <w:i/>
          <w:iCs/>
        </w:rPr>
        <w:t xml:space="preserve"> or E-UTRA Band 85 UL or NR Band n85 UL operating band</w:t>
      </w:r>
      <w:bookmarkEnd w:id="12"/>
      <w:r>
        <w:rPr>
          <w:i/>
          <w:iCs/>
        </w:rPr>
        <w:t>.</w:t>
      </w:r>
    </w:p>
    <w:p>
      <w:pPr>
        <w:pStyle w:val="2"/>
        <w:jc w:val="left"/>
        <w:rPr>
          <w:rFonts w:hint="eastAsia"/>
          <w:i w:val="0"/>
          <w:iCs w:val="0"/>
          <w:sz w:val="20"/>
          <w:szCs w:val="20"/>
          <w:lang w:val="en-US" w:eastAsia="zh-CN"/>
        </w:rPr>
      </w:pPr>
      <w:r>
        <w:rPr>
          <w:rFonts w:hint="eastAsia"/>
          <w:i w:val="0"/>
          <w:iCs w:val="0"/>
          <w:sz w:val="20"/>
          <w:szCs w:val="20"/>
          <w:lang w:val="en-US" w:eastAsia="zh-CN"/>
        </w:rPr>
        <w:t xml:space="preserve">It was already identified that the specific solutions may be required to fulfil the </w:t>
      </w:r>
      <w:r>
        <w:rPr>
          <w:i w:val="0"/>
          <w:iCs w:val="0"/>
          <w:sz w:val="20"/>
          <w:szCs w:val="20"/>
        </w:rPr>
        <w:t>spurious emissions limits</w:t>
      </w:r>
      <w:r>
        <w:rPr>
          <w:rFonts w:hint="eastAsia"/>
          <w:i w:val="0"/>
          <w:iCs w:val="0"/>
          <w:sz w:val="20"/>
          <w:szCs w:val="20"/>
          <w:lang w:val="en-US" w:eastAsia="zh-CN"/>
        </w:rPr>
        <w:t xml:space="preserve"> for NR band n29 BS to co-existence with NR band n12. However, there are no solutions specified in the specification. Thus the solutions would be depends on BS implementation such as using high performance Rx filter in n29+n12 DL.</w:t>
      </w:r>
    </w:p>
    <w:p>
      <w:pPr>
        <w:pStyle w:val="2"/>
        <w:jc w:val="left"/>
        <w:rPr>
          <w:rFonts w:hint="eastAsia"/>
          <w:sz w:val="20"/>
          <w:szCs w:val="20"/>
          <w:lang w:val="en-US" w:eastAsia="zh-CN"/>
        </w:rPr>
      </w:pPr>
      <w:r>
        <w:rPr>
          <w:rFonts w:hint="eastAsia"/>
          <w:i w:val="0"/>
          <w:iCs w:val="0"/>
          <w:sz w:val="20"/>
          <w:szCs w:val="20"/>
          <w:lang w:val="en-US" w:eastAsia="zh-CN"/>
        </w:rPr>
        <w:t xml:space="preserve">For single band n28, due to the overlaps with n67, it would not possible for a BS to use high performance Rx filter to reject the n28 UL in the overlapping frequency range. Thus one of the solution is to restrict </w:t>
      </w:r>
      <w:r>
        <w:rPr>
          <w:rFonts w:hint="eastAsia"/>
          <w:sz w:val="20"/>
          <w:szCs w:val="20"/>
          <w:lang w:val="en-US" w:eastAsia="zh-CN"/>
        </w:rPr>
        <w:t>n28 to the low part range (i.e. 703MHz~733MHz).</w:t>
      </w:r>
    </w:p>
    <w:p>
      <w:pPr>
        <w:pStyle w:val="2"/>
        <w:jc w:val="left"/>
        <w:rPr>
          <w:rFonts w:hint="default" w:ascii="Times New Roman" w:hAnsi="Times New Roman" w:cs="Times New Roman"/>
          <w:sz w:val="20"/>
          <w:szCs w:val="20"/>
          <w:lang w:val="en-US" w:eastAsia="zh-CN"/>
        </w:rPr>
      </w:pPr>
      <w:r>
        <w:rPr>
          <w:rFonts w:hint="eastAsia"/>
          <w:sz w:val="20"/>
          <w:szCs w:val="20"/>
          <w:lang w:val="en-US" w:eastAsia="zh-CN"/>
        </w:rPr>
        <w:t xml:space="preserve">3. </w:t>
      </w:r>
      <w:r>
        <w:rPr>
          <w:rFonts w:hint="eastAsia" w:ascii="Times New Roman" w:hAnsi="Times New Roman" w:cs="Times New Roman"/>
          <w:sz w:val="20"/>
          <w:szCs w:val="20"/>
          <w:lang w:val="en-US" w:eastAsia="zh-CN"/>
        </w:rPr>
        <w:t xml:space="preserve">Blocking: For </w:t>
      </w:r>
      <w:r>
        <w:rPr>
          <w:rFonts w:hint="default" w:ascii="Times New Roman" w:hAnsi="Times New Roman" w:cs="Times New Roman"/>
          <w:sz w:val="20"/>
          <w:szCs w:val="20"/>
          <w:lang w:val="en-GB" w:eastAsia="en-GB"/>
        </w:rPr>
        <w:t>CA_n</w:t>
      </w:r>
      <w:r>
        <w:rPr>
          <w:rFonts w:hint="default" w:ascii="Times New Roman" w:hAnsi="Times New Roman" w:cs="Times New Roman"/>
          <w:sz w:val="20"/>
          <w:szCs w:val="20"/>
          <w:lang w:val="en-US" w:eastAsia="zh-CN"/>
        </w:rPr>
        <w:t>12</w:t>
      </w:r>
      <w:r>
        <w:rPr>
          <w:rFonts w:hint="eastAsia" w:ascii="Times New Roman" w:hAnsi="Times New Roman" w:cs="Times New Roman"/>
          <w:sz w:val="20"/>
          <w:szCs w:val="20"/>
          <w:lang w:val="en-US" w:eastAsia="zh-CN"/>
        </w:rPr>
        <w:t>A</w:t>
      </w:r>
      <w:r>
        <w:rPr>
          <w:rFonts w:hint="default" w:ascii="Times New Roman" w:hAnsi="Times New Roman" w:cs="Times New Roman"/>
          <w:sz w:val="20"/>
          <w:szCs w:val="20"/>
          <w:lang w:val="en-GB" w:eastAsia="en-GB"/>
        </w:rPr>
        <w:t>-n29</w:t>
      </w:r>
      <w:r>
        <w:rPr>
          <w:rFonts w:hint="eastAsia" w:ascii="Times New Roman" w:hAnsi="Times New Roman" w:cs="Times New Roman"/>
          <w:sz w:val="20"/>
          <w:szCs w:val="20"/>
          <w:lang w:val="en-US" w:eastAsia="zh-CN"/>
        </w:rPr>
        <w:t>A and CA_n28A-n67A, we think new notes should be added in out of band blocking Table 7.6.3-2 in TS38.101-1, similar as note 10 for CA_n20A-n28A, which is to consider the whole DL frequency range of the two DL bands.</w:t>
      </w:r>
    </w:p>
    <w:p>
      <w:pPr>
        <w:pStyle w:val="71"/>
        <w:keepNext w:val="0"/>
        <w:keepLines w:val="0"/>
        <w:rPr>
          <w:i/>
          <w:iCs/>
          <w:lang w:eastAsia="fr-FR"/>
        </w:rPr>
      </w:pPr>
      <w:r>
        <w:rPr>
          <w:i/>
          <w:iCs/>
          <w:lang w:eastAsia="fr-FR"/>
        </w:rPr>
        <w:t>NOTE 10</w:t>
      </w:r>
      <w:r>
        <w:rPr>
          <w:rFonts w:cs="Arial"/>
          <w:i/>
          <w:iCs/>
          <w:szCs w:val="18"/>
        </w:rPr>
        <w:tab/>
      </w:r>
      <w:r>
        <w:rPr>
          <w:i/>
          <w:iCs/>
          <w:lang w:eastAsia="fr-FR"/>
        </w:rPr>
        <w:t>For a UE supporting CA_20A-28A and higher order band combinations in which CA_20A-28A is a subset, the requirements for Band n20 and Band n28 apply with F</w:t>
      </w:r>
      <w:r>
        <w:rPr>
          <w:i/>
          <w:iCs/>
          <w:vertAlign w:val="subscript"/>
          <w:lang w:eastAsia="fr-FR"/>
        </w:rPr>
        <w:t>DL_low</w:t>
      </w:r>
      <w:r>
        <w:rPr>
          <w:i/>
          <w:iCs/>
          <w:lang w:eastAsia="fr-FR"/>
        </w:rPr>
        <w:t xml:space="preserve"> given by the lower limit of the restricted operating frequency range in Band n28 and F</w:t>
      </w:r>
      <w:r>
        <w:rPr>
          <w:i/>
          <w:iCs/>
          <w:vertAlign w:val="subscript"/>
          <w:lang w:eastAsia="fr-FR"/>
        </w:rPr>
        <w:t>DL_high</w:t>
      </w:r>
      <w:r>
        <w:rPr>
          <w:i/>
          <w:iCs/>
          <w:lang w:eastAsia="fr-FR"/>
        </w:rPr>
        <w:t xml:space="preserve"> by Band n20.</w:t>
      </w:r>
    </w:p>
    <w:p>
      <w:pPr>
        <w:pStyle w:val="2"/>
        <w:jc w:val="left"/>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With the above consideration, we have the following observations and proposals:</w:t>
      </w:r>
    </w:p>
    <w:p>
      <w:pPr>
        <w:pStyle w:val="2"/>
        <w:rPr>
          <w:rFonts w:hint="eastAsia" w:ascii="Times New Roman" w:hAnsi="Times New Roman" w:cs="Times New Roman"/>
          <w:sz w:val="20"/>
          <w:szCs w:val="20"/>
          <w:lang w:val="en-US" w:eastAsia="zh-CN"/>
        </w:rPr>
      </w:pPr>
      <w:r>
        <w:rPr>
          <w:rFonts w:hint="eastAsia"/>
          <w:b/>
          <w:bCs/>
          <w:sz w:val="20"/>
          <w:lang w:val="en-US" w:eastAsia="zh-CN"/>
        </w:rPr>
        <w:t>O</w:t>
      </w:r>
      <w:r>
        <w:rPr>
          <w:rFonts w:hint="eastAsia" w:ascii="Times New Roman" w:hAnsi="Times New Roman" w:cs="Times New Roman"/>
          <w:b/>
          <w:bCs/>
          <w:sz w:val="20"/>
          <w:lang w:val="en-US" w:eastAsia="zh-CN"/>
        </w:rPr>
        <w:t>bservation 4: For BS-BS co-existence for n29 and n12, specific solutions may be required to fulfil the spurious emissions limits, and it would depend on BS implementations.</w:t>
      </w:r>
    </w:p>
    <w:p>
      <w:pPr>
        <w:pStyle w:val="2"/>
        <w:jc w:val="left"/>
        <w:rPr>
          <w:rFonts w:hint="default" w:ascii="Times New Roman" w:hAnsi="Times New Roman" w:eastAsia="宋体" w:cs="Times New Roman"/>
          <w:sz w:val="20"/>
          <w:lang w:val="en-US" w:eastAsia="zh-CN" w:bidi="ar-SA"/>
        </w:rPr>
      </w:pPr>
      <w:r>
        <w:rPr>
          <w:rFonts w:hint="eastAsia" w:ascii="Times New Roman" w:hAnsi="Times New Roman" w:cs="Times New Roman"/>
          <w:b/>
          <w:bCs/>
          <w:sz w:val="20"/>
          <w:szCs w:val="20"/>
          <w:lang w:val="en-US" w:eastAsia="zh-CN"/>
        </w:rPr>
        <w:t>P</w:t>
      </w:r>
      <w:r>
        <w:rPr>
          <w:rFonts w:hint="eastAsia" w:ascii="Times New Roman" w:hAnsi="Times New Roman" w:cs="Times New Roman"/>
          <w:b/>
          <w:bCs/>
          <w:sz w:val="20"/>
          <w:lang w:val="en-US" w:eastAsia="zh-CN"/>
        </w:rPr>
        <w:t xml:space="preserve">roposal </w:t>
      </w:r>
      <w:r>
        <w:rPr>
          <w:rFonts w:hint="eastAsia" w:cs="Times New Roman"/>
          <w:b/>
          <w:bCs/>
          <w:sz w:val="20"/>
          <w:lang w:val="en-US" w:eastAsia="zh-CN"/>
        </w:rPr>
        <w:t>6:</w:t>
      </w:r>
      <w:r>
        <w:rPr>
          <w:rFonts w:hint="eastAsia" w:ascii="Times New Roman" w:hAnsi="Times New Roman" w:cs="Times New Roman"/>
          <w:b/>
          <w:bCs/>
          <w:sz w:val="20"/>
          <w:lang w:val="en-US" w:eastAsia="zh-CN"/>
        </w:rPr>
        <w:t xml:space="preserve"> To limit the n28 </w:t>
      </w:r>
      <w:r>
        <w:rPr>
          <w:rFonts w:hint="eastAsia" w:ascii="Times New Roman" w:hAnsi="Times New Roman" w:cs="Times New Roman"/>
          <w:b/>
          <w:bCs/>
          <w:sz w:val="20"/>
          <w:lang w:val="en-US" w:eastAsia="ja-JP"/>
        </w:rPr>
        <w:t>operation to the Region 1 range 703-733/758-788</w:t>
      </w:r>
      <w:r>
        <w:rPr>
          <w:rFonts w:hint="eastAsia" w:ascii="Times New Roman" w:hAnsi="Times New Roman" w:cs="Times New Roman"/>
          <w:b/>
          <w:bCs/>
          <w:sz w:val="20"/>
          <w:lang w:val="en-US" w:eastAsia="zh-CN"/>
        </w:rPr>
        <w:t xml:space="preserve"> for CA_n28A-n67A.</w:t>
      </w:r>
    </w:p>
    <w:p>
      <w:pPr>
        <w:pStyle w:val="2"/>
        <w:jc w:val="left"/>
        <w:rPr>
          <w:rFonts w:hint="default" w:ascii="Times New Roman" w:hAnsi="Times New Roman" w:cs="Times New Roman"/>
          <w:b/>
          <w:bCs/>
          <w:sz w:val="20"/>
          <w:lang w:val="en-US" w:eastAsia="zh-CN"/>
        </w:rPr>
      </w:pPr>
      <w:r>
        <w:rPr>
          <w:rFonts w:hint="eastAsia" w:ascii="Times New Roman" w:hAnsi="Times New Roman" w:cs="Times New Roman"/>
          <w:b/>
          <w:bCs/>
          <w:sz w:val="20"/>
          <w:lang w:val="en-US" w:eastAsia="zh-CN"/>
        </w:rPr>
        <w:t xml:space="preserve">Proposal </w:t>
      </w:r>
      <w:r>
        <w:rPr>
          <w:rFonts w:hint="eastAsia" w:cs="Times New Roman"/>
          <w:b/>
          <w:bCs/>
          <w:sz w:val="20"/>
          <w:lang w:val="en-US" w:eastAsia="zh-CN"/>
        </w:rPr>
        <w:t>7:</w:t>
      </w:r>
      <w:r>
        <w:rPr>
          <w:rFonts w:hint="eastAsia" w:ascii="Times New Roman" w:hAnsi="Times New Roman" w:cs="Times New Roman"/>
          <w:b/>
          <w:bCs/>
          <w:sz w:val="20"/>
          <w:lang w:val="en-US" w:eastAsia="zh-CN"/>
        </w:rPr>
        <w:t xml:space="preserve"> For CA_n12A-n29A and CA_n28A-n67A, two new NOTEs in out of band blocking Table 7.6.3-2 in TS38.101-1 should be added to include whole DL frequency range of the two DL bands.</w:t>
      </w:r>
    </w:p>
    <w:p>
      <w:pPr>
        <w:keepNext w:val="0"/>
        <w:keepLines w:val="0"/>
        <w:pageBreakBefore w:val="0"/>
        <w:widowControl/>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default"/>
          <w:b w:val="0"/>
          <w:bCs w:val="0"/>
          <w:sz w:val="20"/>
          <w:szCs w:val="20"/>
          <w:lang w:val="en-US" w:eastAsia="zh-CN"/>
        </w:rPr>
      </w:pPr>
      <w:r>
        <w:rPr>
          <w:rFonts w:hint="eastAsia"/>
          <w:b w:val="0"/>
          <w:bCs w:val="0"/>
          <w:sz w:val="20"/>
          <w:szCs w:val="20"/>
          <w:lang w:val="en-US" w:eastAsia="zh-CN"/>
        </w:rPr>
        <w:t>In the feature list [5], the switching cases are included:</w:t>
      </w:r>
    </w:p>
    <w:p>
      <w:pPr>
        <w:keepNext w:val="0"/>
        <w:keepLines w:val="0"/>
        <w:pageBreakBefore w:val="0"/>
        <w:widowControl/>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eastAsia" w:eastAsia="等线" w:cs="Times New Roman"/>
          <w:sz w:val="20"/>
          <w:szCs w:val="20"/>
          <w:lang w:val="en-US" w:eastAsia="zh-CN" w:bidi="ar-SA"/>
        </w:rPr>
      </w:pPr>
      <w:r>
        <w:drawing>
          <wp:inline distT="0" distB="0" distL="114300" distR="114300">
            <wp:extent cx="6126480" cy="1987550"/>
            <wp:effectExtent l="0" t="0" r="0" b="889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17"/>
                    <a:stretch>
                      <a:fillRect/>
                    </a:stretch>
                  </pic:blipFill>
                  <pic:spPr>
                    <a:xfrm>
                      <a:off x="0" y="0"/>
                      <a:ext cx="6126480" cy="1987550"/>
                    </a:xfrm>
                    <a:prstGeom prst="rect">
                      <a:avLst/>
                    </a:prstGeom>
                    <a:noFill/>
                    <a:ln>
                      <a:noFill/>
                    </a:ln>
                  </pic:spPr>
                </pic:pic>
              </a:graphicData>
            </a:graphic>
          </wp:inline>
        </w:drawing>
      </w:r>
    </w:p>
    <w:p>
      <w:pPr>
        <w:keepNext w:val="0"/>
        <w:keepLines w:val="0"/>
        <w:pageBreakBefore w:val="0"/>
        <w:widowControl/>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eastAsia" w:eastAsia="等线" w:cs="Times New Roman"/>
          <w:sz w:val="20"/>
          <w:szCs w:val="20"/>
          <w:lang w:val="en-US" w:eastAsia="zh-CN" w:bidi="ar-SA"/>
        </w:rPr>
      </w:pPr>
      <w:r>
        <w:rPr>
          <w:rFonts w:hint="eastAsia" w:eastAsia="等线" w:cs="Times New Roman"/>
          <w:sz w:val="20"/>
          <w:szCs w:val="20"/>
          <w:lang w:val="en-US" w:eastAsia="zh-CN" w:bidi="ar-SA"/>
        </w:rPr>
        <w:t xml:space="preserve">It was agreed that new UE capability will be introduced and the </w:t>
      </w:r>
      <w:r>
        <w:rPr>
          <w:rFonts w:ascii="Times New Roman" w:hAnsi="Times New Roman" w:eastAsia="宋体" w:cs="Times New Roman"/>
          <w:lang w:val="en-US" w:eastAsia="ja-JP" w:bidi="ar-SA"/>
        </w:rPr>
        <w:t>capability shall be per band pair per band combination</w:t>
      </w:r>
      <w:r>
        <w:rPr>
          <w:rFonts w:hint="eastAsia" w:ascii="Times New Roman" w:hAnsi="Times New Roman" w:cs="Times New Roman"/>
          <w:lang w:val="en-US" w:eastAsia="zh-CN" w:bidi="ar-SA"/>
        </w:rPr>
        <w:t>. T</w:t>
      </w:r>
      <w:r>
        <w:rPr>
          <w:rFonts w:hint="eastAsia" w:eastAsia="等线" w:cs="Times New Roman"/>
          <w:sz w:val="20"/>
          <w:szCs w:val="20"/>
          <w:lang w:val="en-US" w:eastAsia="zh-CN" w:bidi="ar-SA"/>
        </w:rPr>
        <w:t>hus for R20 dual DL switching, the new switching cases should be informed to RAN2 to update the signalling (existing one or introduce new signalling) if necessary, which depends on RAN2 decision.</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widowControl/>
              <w:overflowPunct w:val="0"/>
              <w:autoSpaceDE w:val="0"/>
              <w:autoSpaceDN w:val="0"/>
              <w:adjustRightInd w:val="0"/>
              <w:spacing w:after="180"/>
              <w:jc w:val="left"/>
              <w:textAlignment w:val="baseline"/>
              <w:rPr>
                <w:rFonts w:ascii="Times New Roman" w:hAnsi="Times New Roman" w:eastAsia="宋体" w:cs="Times New Roman"/>
                <w:b/>
                <w:bCs/>
                <w:kern w:val="0"/>
                <w:sz w:val="20"/>
                <w:szCs w:val="20"/>
                <w:lang w:val="en-US" w:eastAsia="ja-JP"/>
              </w:rPr>
            </w:pPr>
            <w:r>
              <w:rPr>
                <w:rFonts w:ascii="Times New Roman" w:hAnsi="Times New Roman" w:eastAsia="宋体" w:cs="Times New Roman"/>
                <w:b/>
                <w:bCs/>
                <w:kern w:val="0"/>
                <w:sz w:val="20"/>
                <w:szCs w:val="20"/>
                <w:lang w:val="en-US" w:eastAsia="ja-JP"/>
              </w:rPr>
              <w:t>Issue 4: Switching period for switching between Case 1 and Case 3</w:t>
            </w:r>
          </w:p>
          <w:p>
            <w:pPr>
              <w:overflowPunct w:val="0"/>
              <w:autoSpaceDE w:val="0"/>
              <w:autoSpaceDN w:val="0"/>
              <w:adjustRightInd w:val="0"/>
              <w:spacing w:after="180"/>
              <w:ind w:left="568" w:hanging="284"/>
              <w:textAlignment w:val="baseline"/>
              <w:rPr>
                <w:rFonts w:ascii="Times New Roman" w:hAnsi="Times New Roman" w:eastAsia="宋体" w:cs="Times New Roman"/>
                <w:lang w:val="en-US" w:eastAsia="ja-JP" w:bidi="ar-SA"/>
              </w:rPr>
            </w:pPr>
            <w:r>
              <w:rPr>
                <w:rFonts w:ascii="Times New Roman" w:hAnsi="Times New Roman" w:eastAsia="宋体" w:cs="Times New Roman"/>
                <w:lang w:val="en-US" w:eastAsia="ja-JP" w:bidi="ar-SA"/>
              </w:rPr>
              <w:t>-</w:t>
            </w:r>
            <w:r>
              <w:rPr>
                <w:rFonts w:ascii="Times New Roman" w:hAnsi="Times New Roman" w:eastAsia="宋体" w:cs="Times New Roman"/>
                <w:lang w:val="en-US" w:eastAsia="ja-JP" w:bidi="ar-SA"/>
              </w:rPr>
              <w:tab/>
            </w:r>
            <w:r>
              <w:rPr>
                <w:rFonts w:ascii="Times New Roman" w:hAnsi="Times New Roman" w:eastAsia="宋体" w:cs="Times New Roman"/>
                <w:lang w:val="en-US" w:eastAsia="ja-JP" w:bidi="ar-SA"/>
              </w:rPr>
              <w:t>Introduce new UE capability to support LB CA via switching between {case 1, case 3} with Dual DL with multiple values for switching period to accommodate different UE implementations</w:t>
            </w:r>
          </w:p>
          <w:p>
            <w:pPr>
              <w:overflowPunct w:val="0"/>
              <w:autoSpaceDE w:val="0"/>
              <w:autoSpaceDN w:val="0"/>
              <w:adjustRightInd w:val="0"/>
              <w:spacing w:after="180"/>
              <w:ind w:left="851" w:hanging="284"/>
              <w:textAlignment w:val="baseline"/>
              <w:rPr>
                <w:rFonts w:ascii="Times New Roman" w:hAnsi="Times New Roman" w:eastAsia="宋体" w:cs="Times New Roman"/>
                <w:lang w:val="en-US" w:eastAsia="ja-JP" w:bidi="ar-SA"/>
              </w:rPr>
            </w:pPr>
            <w:r>
              <w:rPr>
                <w:rFonts w:ascii="Times New Roman" w:hAnsi="Times New Roman" w:eastAsia="宋体" w:cs="Times New Roman"/>
                <w:lang w:val="en-US" w:eastAsia="ja-JP" w:bidi="ar-SA"/>
              </w:rPr>
              <w:t>-</w:t>
            </w:r>
            <w:r>
              <w:rPr>
                <w:rFonts w:ascii="Times New Roman" w:hAnsi="Times New Roman" w:eastAsia="宋体" w:cs="Times New Roman"/>
                <w:lang w:val="en-US" w:eastAsia="ja-JP" w:bidi="ar-SA"/>
              </w:rPr>
              <w:tab/>
            </w:r>
            <w:r>
              <w:rPr>
                <w:rFonts w:ascii="Times New Roman" w:hAnsi="Times New Roman" w:eastAsia="宋体" w:cs="Times New Roman"/>
                <w:lang w:val="en-US" w:eastAsia="ja-JP" w:bidi="ar-SA"/>
              </w:rPr>
              <w:t>Switching period capability values {35us, 70us, 140us}</w:t>
            </w:r>
          </w:p>
          <w:p>
            <w:pPr>
              <w:overflowPunct w:val="0"/>
              <w:autoSpaceDE w:val="0"/>
              <w:autoSpaceDN w:val="0"/>
              <w:adjustRightInd w:val="0"/>
              <w:spacing w:after="180"/>
              <w:ind w:left="851" w:hanging="284"/>
              <w:textAlignment w:val="baseline"/>
              <w:rPr>
                <w:rFonts w:hint="eastAsia" w:eastAsia="等线" w:cs="Times New Roman"/>
                <w:sz w:val="20"/>
                <w:szCs w:val="20"/>
                <w:vertAlign w:val="baseline"/>
                <w:lang w:val="en-US" w:eastAsia="zh-CN" w:bidi="ar-SA"/>
              </w:rPr>
            </w:pPr>
            <w:r>
              <w:rPr>
                <w:rFonts w:ascii="Times New Roman" w:hAnsi="Times New Roman" w:eastAsia="宋体" w:cs="Times New Roman"/>
                <w:lang w:val="en-US" w:eastAsia="ja-JP" w:bidi="ar-SA"/>
              </w:rPr>
              <w:t>-</w:t>
            </w:r>
            <w:r>
              <w:rPr>
                <w:rFonts w:ascii="Times New Roman" w:hAnsi="Times New Roman" w:eastAsia="宋体" w:cs="Times New Roman"/>
                <w:lang w:val="en-US" w:eastAsia="ja-JP" w:bidi="ar-SA"/>
              </w:rPr>
              <w:tab/>
            </w:r>
            <w:r>
              <w:rPr>
                <w:rFonts w:ascii="Times New Roman" w:hAnsi="Times New Roman" w:eastAsia="宋体" w:cs="Times New Roman"/>
                <w:lang w:val="en-US" w:eastAsia="ja-JP" w:bidi="ar-SA"/>
              </w:rPr>
              <w:t>The capability shall be per band pair per band combination</w:t>
            </w:r>
          </w:p>
        </w:tc>
      </w:tr>
    </w:tbl>
    <w:p>
      <w:pPr>
        <w:keepNext w:val="0"/>
        <w:keepLines w:val="0"/>
        <w:pageBreakBefore w:val="0"/>
        <w:widowControl/>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default" w:eastAsia="宋体" w:cs="Arial"/>
          <w:szCs w:val="18"/>
          <w:lang w:val="en-US" w:eastAsia="zh-CN"/>
        </w:rPr>
      </w:pPr>
      <w:r>
        <w:rPr>
          <w:rFonts w:hint="eastAsia" w:eastAsia="等线" w:cs="Times New Roman"/>
          <w:b/>
          <w:bCs/>
          <w:sz w:val="20"/>
          <w:szCs w:val="20"/>
          <w:lang w:val="en-US" w:eastAsia="zh-CN" w:bidi="ar-SA"/>
        </w:rPr>
        <w:t>Proposal 8: Inform RAN2 that RAN4 introduce new dual DL switching case f</w:t>
      </w:r>
      <w:r>
        <w:rPr>
          <w:rFonts w:hint="eastAsia" w:ascii="Times New Roman" w:hAnsi="Times New Roman" w:eastAsia="等线" w:cs="Times New Roman"/>
          <w:b/>
          <w:bCs/>
          <w:sz w:val="20"/>
          <w:szCs w:val="20"/>
          <w:lang w:val="en-US" w:eastAsia="zh-CN" w:bidi="ar-SA"/>
        </w:rPr>
        <w:t>or signalling updating.</w:t>
      </w:r>
      <w:r>
        <w:rPr>
          <w:rFonts w:hint="eastAsia" w:eastAsia="宋体" w:cs="Arial"/>
          <w:sz w:val="20"/>
          <w:szCs w:val="20"/>
          <w:lang w:val="en-US" w:eastAsia="zh-CN"/>
        </w:rPr>
        <w:t xml:space="preserve"> </w:t>
      </w:r>
    </w:p>
    <w:bookmarkEnd w:id="10"/>
    <w:bookmarkEnd w:id="11"/>
    <w:p>
      <w:pPr>
        <w:keepNext w:val="0"/>
        <w:keepLines w:val="0"/>
        <w:pageBreakBefore w:val="0"/>
        <w:widowControl w:val="0"/>
        <w:pBdr>
          <w:top w:val="single" w:color="auto" w:sz="12" w:space="3"/>
        </w:pBdr>
        <w:kinsoku/>
        <w:wordWrap/>
        <w:topLinePunct w:val="0"/>
        <w:bidi w:val="0"/>
        <w:snapToGrid/>
        <w:spacing w:beforeLines="0" w:after="120" w:afterLines="0"/>
        <w:jc w:val="left"/>
        <w:outlineLvl w:val="0"/>
        <w:rPr>
          <w:b/>
          <w:kern w:val="0"/>
          <w:sz w:val="24"/>
          <w:szCs w:val="24"/>
          <w:highlight w:val="none"/>
        </w:rPr>
      </w:pPr>
      <w:r>
        <w:rPr>
          <w:b/>
          <w:kern w:val="0"/>
          <w:sz w:val="24"/>
          <w:szCs w:val="24"/>
          <w:highlight w:val="none"/>
        </w:rPr>
        <w:t>3 Conclusion</w:t>
      </w:r>
    </w:p>
    <w:p>
      <w:pPr>
        <w:keepNext w:val="0"/>
        <w:keepLines w:val="0"/>
        <w:pageBreakBefore w:val="0"/>
        <w:widowControl w:val="0"/>
        <w:numPr>
          <w:ilvl w:val="-1"/>
          <w:numId w:val="0"/>
        </w:numPr>
        <w:shd w:val="clear"/>
        <w:kinsoku/>
        <w:wordWrap/>
        <w:overflowPunct/>
        <w:topLinePunct w:val="0"/>
        <w:autoSpaceDE/>
        <w:autoSpaceDN/>
        <w:bidi w:val="0"/>
        <w:adjustRightInd/>
        <w:snapToGrid/>
        <w:spacing w:before="120" w:beforeLines="0" w:after="120" w:afterLines="0" w:line="240" w:lineRule="auto"/>
        <w:jc w:val="left"/>
        <w:textAlignment w:val="auto"/>
        <w:rPr>
          <w:rFonts w:hint="default"/>
          <w:bCs/>
          <w:kern w:val="0"/>
          <w:sz w:val="21"/>
          <w:szCs w:val="21"/>
          <w:highlight w:val="none"/>
          <w:lang w:val="en-US" w:eastAsia="zh-CN"/>
        </w:rPr>
      </w:pPr>
      <w:r>
        <w:rPr>
          <w:kern w:val="0"/>
          <w:sz w:val="20"/>
          <w:highlight w:val="none"/>
        </w:rPr>
        <w:t xml:space="preserve">In this contribution, </w:t>
      </w:r>
      <w:r>
        <w:rPr>
          <w:rFonts w:hint="eastAsia"/>
          <w:bCs/>
          <w:kern w:val="0"/>
          <w:sz w:val="21"/>
          <w:szCs w:val="21"/>
          <w:highlight w:val="none"/>
          <w:lang w:val="en-US" w:eastAsia="zh-CN"/>
        </w:rPr>
        <w:t>we give some discussions on the R20 enhancement FDD-SDL LBCA downlink carrier switching.</w:t>
      </w:r>
    </w:p>
    <w:p>
      <w:pPr>
        <w:keepNext w:val="0"/>
        <w:keepLines w:val="0"/>
        <w:pageBreakBefore w:val="0"/>
        <w:widowControl w:val="0"/>
        <w:numPr>
          <w:ilvl w:val="-1"/>
          <w:numId w:val="0"/>
        </w:numPr>
        <w:shd w:val="clear"/>
        <w:kinsoku/>
        <w:wordWrap/>
        <w:overflowPunct/>
        <w:topLinePunct w:val="0"/>
        <w:autoSpaceDE/>
        <w:autoSpaceDN/>
        <w:bidi w:val="0"/>
        <w:adjustRightInd/>
        <w:snapToGrid/>
        <w:spacing w:before="120" w:beforeLines="0" w:after="120" w:afterLines="0" w:line="240" w:lineRule="auto"/>
        <w:jc w:val="left"/>
        <w:textAlignment w:val="auto"/>
        <w:rPr>
          <w:rFonts w:hint="eastAsia"/>
          <w:bCs/>
          <w:kern w:val="0"/>
          <w:sz w:val="21"/>
          <w:szCs w:val="21"/>
          <w:highlight w:val="none"/>
          <w:lang w:val="en-US" w:eastAsia="zh-CN"/>
        </w:rPr>
      </w:pPr>
      <w:r>
        <w:rPr>
          <w:rFonts w:hint="eastAsia"/>
          <w:bCs/>
          <w:kern w:val="0"/>
          <w:sz w:val="21"/>
          <w:szCs w:val="21"/>
          <w:highlight w:val="none"/>
          <w:lang w:val="en-US" w:eastAsia="zh-CN"/>
        </w:rPr>
        <w:t>The observations, proposals and conclusions are:</w:t>
      </w:r>
    </w:p>
    <w:p>
      <w:pPr>
        <w:keepNext w:val="0"/>
        <w:keepLines w:val="0"/>
        <w:pageBreakBefore w:val="0"/>
        <w:widowControl/>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default"/>
          <w:b/>
          <w:bCs/>
          <w:sz w:val="20"/>
          <w:szCs w:val="20"/>
          <w:lang w:val="en-US" w:eastAsia="zh-CN"/>
        </w:rPr>
      </w:pPr>
      <w:r>
        <w:rPr>
          <w:rFonts w:hint="eastAsia"/>
          <w:b/>
          <w:bCs/>
          <w:sz w:val="20"/>
          <w:szCs w:val="20"/>
          <w:lang w:val="en-US" w:eastAsia="zh-CN"/>
        </w:rPr>
        <w:t>Observation 1: The UE RF architecture are different between Rel-19 and Rel-20 LB CA switching.</w:t>
      </w:r>
    </w:p>
    <w:p>
      <w:pPr>
        <w:pStyle w:val="2"/>
        <w:rPr>
          <w:rFonts w:hint="default"/>
          <w:b/>
          <w:bCs/>
          <w:sz w:val="20"/>
          <w:lang w:val="en-US" w:eastAsia="zh-CN"/>
        </w:rPr>
      </w:pPr>
      <w:r>
        <w:rPr>
          <w:rFonts w:hint="eastAsia"/>
          <w:b/>
          <w:bCs/>
          <w:sz w:val="20"/>
          <w:lang w:val="en-US" w:eastAsia="zh-CN"/>
        </w:rPr>
        <w:t xml:space="preserve">Observation 2: A high performance SAW filter would be needed to support SDL n67+ full n28 DL. </w:t>
      </w:r>
    </w:p>
    <w:p>
      <w:pPr>
        <w:pStyle w:val="2"/>
        <w:rPr>
          <w:rFonts w:hint="eastAsia" w:ascii="Times New Roman" w:hAnsi="Times New Roman" w:cs="Times New Roman"/>
          <w:b/>
          <w:bCs/>
          <w:sz w:val="20"/>
          <w:lang w:val="en-US" w:eastAsia="zh-CN"/>
        </w:rPr>
      </w:pPr>
      <w:r>
        <w:rPr>
          <w:rFonts w:hint="eastAsia"/>
          <w:b/>
          <w:bCs/>
          <w:sz w:val="20"/>
          <w:lang w:val="en-US" w:eastAsia="zh-CN"/>
        </w:rPr>
        <w:t>Observation 3: The above UE RF architecture can be applied for b</w:t>
      </w:r>
      <w:r>
        <w:rPr>
          <w:rFonts w:hint="eastAsia" w:ascii="Times New Roman" w:hAnsi="Times New Roman" w:cs="Times New Roman"/>
          <w:b/>
          <w:bCs/>
          <w:sz w:val="20"/>
          <w:lang w:val="en-US" w:eastAsia="zh-CN"/>
        </w:rPr>
        <w:t>oth full band n28 and partial n28 operation.</w:t>
      </w:r>
    </w:p>
    <w:p>
      <w:pPr>
        <w:pStyle w:val="2"/>
        <w:rPr>
          <w:rFonts w:hint="eastAsia" w:ascii="Times New Roman" w:hAnsi="Times New Roman" w:eastAsia="等线" w:cs="Times New Roman"/>
          <w:b/>
          <w:bCs/>
          <w:sz w:val="20"/>
          <w:lang w:val="en-US" w:eastAsia="zh-CN" w:bidi="ar-SA"/>
        </w:rPr>
      </w:pPr>
      <w:r>
        <w:rPr>
          <w:rFonts w:hint="eastAsia" w:ascii="Times New Roman" w:hAnsi="Times New Roman" w:cs="Times New Roman"/>
          <w:b/>
          <w:bCs/>
          <w:sz w:val="20"/>
          <w:lang w:val="en-US" w:eastAsia="zh-CN"/>
        </w:rPr>
        <w:t>Proposal 1</w:t>
      </w:r>
      <w:r>
        <w:rPr>
          <w:rFonts w:hint="eastAsia" w:cs="Times New Roman"/>
          <w:b/>
          <w:bCs/>
          <w:sz w:val="20"/>
          <w:lang w:val="en-US" w:eastAsia="zh-CN"/>
        </w:rPr>
        <w:t>:</w:t>
      </w:r>
      <w:r>
        <w:rPr>
          <w:rFonts w:hint="eastAsia" w:ascii="Times New Roman" w:hAnsi="Times New Roman" w:cs="Times New Roman"/>
          <w:b/>
          <w:bCs/>
          <w:sz w:val="20"/>
          <w:lang w:val="en-US" w:eastAsia="zh-CN"/>
        </w:rPr>
        <w:t xml:space="preserve"> With a </w:t>
      </w:r>
      <w:r>
        <w:rPr>
          <w:rFonts w:hint="eastAsia"/>
          <w:b/>
          <w:bCs/>
          <w:sz w:val="20"/>
          <w:lang w:val="en-US" w:eastAsia="zh-CN"/>
        </w:rPr>
        <w:t>high performance SAW filter, i</w:t>
      </w:r>
      <w:r>
        <w:rPr>
          <w:rFonts w:hint="eastAsia" w:ascii="Times New Roman" w:hAnsi="Times New Roman" w:cs="Times New Roman"/>
          <w:b/>
          <w:bCs/>
          <w:sz w:val="20"/>
          <w:lang w:val="en-US" w:eastAsia="zh-CN"/>
        </w:rPr>
        <w:t xml:space="preserve">t is feasible to use </w:t>
      </w:r>
      <w:r>
        <w:rPr>
          <w:rFonts w:hint="eastAsia" w:ascii="Times New Roman" w:hAnsi="Times New Roman" w:eastAsia="等线" w:cs="Times New Roman"/>
          <w:b/>
          <w:bCs/>
          <w:sz w:val="20"/>
          <w:lang w:val="en-US" w:eastAsia="zh-CN" w:bidi="ar-SA"/>
        </w:rPr>
        <w:t xml:space="preserve">a combined band n28+n67 DL filter to support 60MHz </w:t>
      </w:r>
      <w:r>
        <w:rPr>
          <w:rFonts w:hint="eastAsia" w:ascii="Times New Roman" w:hAnsi="Times New Roman" w:cs="Times New Roman"/>
          <w:b/>
          <w:bCs/>
          <w:sz w:val="20"/>
          <w:lang w:val="en-US" w:eastAsia="zh-CN" w:bidi="ar-SA"/>
        </w:rPr>
        <w:t xml:space="preserve">channel bandwidth </w:t>
      </w:r>
      <w:r>
        <w:rPr>
          <w:rFonts w:hint="eastAsia" w:ascii="Times New Roman" w:hAnsi="Times New Roman" w:eastAsia="等线" w:cs="Times New Roman"/>
          <w:b/>
          <w:bCs/>
          <w:sz w:val="20"/>
          <w:lang w:val="en-US" w:eastAsia="zh-CN" w:bidi="ar-SA"/>
        </w:rPr>
        <w:t>and the full band n28 implementation</w:t>
      </w:r>
    </w:p>
    <w:p>
      <w:pPr>
        <w:pStyle w:val="2"/>
        <w:rPr>
          <w:rFonts w:hint="eastAsia" w:ascii="Times New Roman" w:hAnsi="Times New Roman" w:cs="Times New Roman"/>
          <w:b/>
          <w:bCs/>
          <w:sz w:val="20"/>
          <w:lang w:val="en-US" w:eastAsia="zh-CN"/>
        </w:rPr>
      </w:pPr>
      <w:r>
        <w:rPr>
          <w:rFonts w:hint="eastAsia"/>
          <w:b/>
          <w:bCs/>
          <w:sz w:val="20"/>
          <w:lang w:val="en-US" w:eastAsia="zh-CN"/>
        </w:rPr>
        <w:t>O</w:t>
      </w:r>
      <w:r>
        <w:rPr>
          <w:rFonts w:hint="eastAsia" w:ascii="Times New Roman" w:hAnsi="Times New Roman" w:cs="Times New Roman"/>
          <w:b/>
          <w:bCs/>
          <w:sz w:val="20"/>
          <w:lang w:val="en-US" w:eastAsia="zh-CN"/>
        </w:rPr>
        <w:t>bservation 4: For BS-BS co-existence for n29 and n12, specific solutions may be required to fulfil the spurious emissions limits, and it would depend on BS implementations.</w:t>
      </w:r>
    </w:p>
    <w:p>
      <w:pPr>
        <w:pStyle w:val="2"/>
        <w:jc w:val="left"/>
        <w:rPr>
          <w:rFonts w:hint="default" w:ascii="Times New Roman" w:hAnsi="Times New Roman" w:cs="Times New Roman"/>
          <w:b/>
          <w:bCs/>
          <w:sz w:val="20"/>
          <w:lang w:val="en-US" w:eastAsia="zh-CN"/>
        </w:rPr>
      </w:pPr>
      <w:r>
        <w:rPr>
          <w:rFonts w:hint="eastAsia" w:ascii="Times New Roman" w:hAnsi="Times New Roman" w:cs="Times New Roman"/>
          <w:b/>
          <w:bCs/>
          <w:sz w:val="20"/>
          <w:lang w:val="en-US" w:eastAsia="zh-CN"/>
        </w:rPr>
        <w:t>Proposal 2</w:t>
      </w:r>
      <w:r>
        <w:rPr>
          <w:rFonts w:hint="eastAsia" w:cs="Times New Roman"/>
          <w:b/>
          <w:bCs/>
          <w:sz w:val="20"/>
          <w:lang w:val="en-US" w:eastAsia="zh-CN"/>
        </w:rPr>
        <w:t>:</w:t>
      </w:r>
      <w:r>
        <w:rPr>
          <w:rFonts w:hint="eastAsia" w:ascii="Times New Roman" w:hAnsi="Times New Roman" w:cs="Times New Roman"/>
          <w:b/>
          <w:bCs/>
          <w:sz w:val="20"/>
          <w:lang w:val="en-US" w:eastAsia="zh-CN"/>
        </w:rPr>
        <w:t xml:space="preserve"> Two separate filters for the two DL band is needed for the LBCA switching scenario with large separation between two DL bands.</w:t>
      </w:r>
    </w:p>
    <w:p>
      <w:pPr>
        <w:pStyle w:val="2"/>
        <w:jc w:val="left"/>
        <w:rPr>
          <w:rFonts w:hint="eastAsia"/>
          <w:b/>
          <w:bCs/>
          <w:sz w:val="20"/>
          <w:szCs w:val="20"/>
          <w:lang w:val="en-US" w:eastAsia="zh-CN"/>
        </w:rPr>
      </w:pPr>
      <w:r>
        <w:rPr>
          <w:rFonts w:hint="eastAsia" w:ascii="Times New Roman" w:hAnsi="Times New Roman" w:cs="Times New Roman"/>
          <w:b/>
          <w:bCs/>
          <w:sz w:val="20"/>
          <w:lang w:val="en-US" w:eastAsia="zh-CN"/>
        </w:rPr>
        <w:t xml:space="preserve">Proposal </w:t>
      </w:r>
      <w:r>
        <w:rPr>
          <w:rFonts w:hint="eastAsia" w:cs="Times New Roman"/>
          <w:b/>
          <w:bCs/>
          <w:sz w:val="20"/>
          <w:lang w:val="en-US" w:eastAsia="zh-CN"/>
        </w:rPr>
        <w:t>3:</w:t>
      </w:r>
      <w:r>
        <w:rPr>
          <w:rFonts w:hint="eastAsia" w:ascii="Times New Roman" w:hAnsi="Times New Roman" w:cs="Times New Roman"/>
          <w:b/>
          <w:bCs/>
          <w:sz w:val="20"/>
          <w:lang w:val="en-US" w:eastAsia="zh-CN"/>
        </w:rPr>
        <w:t xml:space="preserve"> </w:t>
      </w:r>
      <w:r>
        <w:rPr>
          <w:rFonts w:hint="eastAsia" w:cs="Times New Roman"/>
          <w:b/>
          <w:bCs/>
          <w:sz w:val="20"/>
          <w:lang w:val="en-US" w:eastAsia="zh-CN"/>
        </w:rPr>
        <w:t xml:space="preserve">For FDD carrier with Tx/Rx, </w:t>
      </w:r>
      <w:r>
        <w:rPr>
          <w:rFonts w:hint="eastAsia"/>
          <w:b/>
          <w:bCs/>
          <w:sz w:val="20"/>
          <w:szCs w:val="20"/>
          <w:lang w:val="en-US" w:eastAsia="zh-CN"/>
        </w:rPr>
        <w:t xml:space="preserve">the existing </w:t>
      </w:r>
      <w:r>
        <w:rPr>
          <w:rFonts w:hint="eastAsia" w:cs="Times New Roman"/>
          <w:b/>
          <w:bCs/>
          <w:sz w:val="20"/>
          <w:lang w:val="en-US" w:eastAsia="zh-CN"/>
        </w:rPr>
        <w:t xml:space="preserve">REFSENS requirements </w:t>
      </w:r>
      <w:r>
        <w:rPr>
          <w:rFonts w:hint="eastAsia"/>
          <w:b/>
          <w:bCs/>
          <w:sz w:val="20"/>
          <w:szCs w:val="20"/>
          <w:lang w:val="en-US" w:eastAsia="zh-CN"/>
        </w:rPr>
        <w:t xml:space="preserve">can be reused. For FDD carrier with Rx only, relax </w:t>
      </w:r>
      <w:r>
        <w:rPr>
          <w:rFonts w:hint="eastAsia" w:cs="Times New Roman"/>
          <w:b/>
          <w:bCs/>
          <w:sz w:val="20"/>
          <w:lang w:val="en-US" w:eastAsia="zh-CN"/>
        </w:rPr>
        <w:t xml:space="preserve">REFSENS requirements </w:t>
      </w:r>
      <w:r>
        <w:rPr>
          <w:rFonts w:hint="eastAsia"/>
          <w:b/>
          <w:bCs/>
          <w:sz w:val="20"/>
          <w:szCs w:val="20"/>
          <w:lang w:val="en-US" w:eastAsia="zh-CN"/>
        </w:rPr>
        <w:t>should be consider without Tx impacts.</w:t>
      </w:r>
    </w:p>
    <w:p>
      <w:pPr>
        <w:pStyle w:val="2"/>
        <w:jc w:val="left"/>
        <w:rPr>
          <w:rFonts w:hint="eastAsia"/>
          <w:b/>
          <w:bCs/>
          <w:sz w:val="20"/>
          <w:szCs w:val="20"/>
          <w:lang w:val="en-US" w:eastAsia="zh-CN"/>
        </w:rPr>
      </w:pPr>
      <w:r>
        <w:rPr>
          <w:rFonts w:hint="eastAsia"/>
          <w:b/>
          <w:bCs/>
          <w:sz w:val="20"/>
          <w:szCs w:val="20"/>
          <w:lang w:val="en-US" w:eastAsia="zh-CN"/>
        </w:rPr>
        <w:t xml:space="preserve">Proposal 4: For SDL carrier, the existing </w:t>
      </w:r>
      <w:r>
        <w:rPr>
          <w:rFonts w:hint="eastAsia" w:cs="Times New Roman"/>
          <w:b/>
          <w:bCs/>
          <w:sz w:val="20"/>
          <w:lang w:val="en-US" w:eastAsia="zh-CN"/>
        </w:rPr>
        <w:t xml:space="preserve">REFSENS requirements </w:t>
      </w:r>
      <w:r>
        <w:rPr>
          <w:rFonts w:hint="eastAsia"/>
          <w:b/>
          <w:bCs/>
          <w:sz w:val="20"/>
          <w:szCs w:val="20"/>
          <w:lang w:val="en-US" w:eastAsia="zh-CN"/>
        </w:rPr>
        <w:t xml:space="preserve">can be reused. </w:t>
      </w:r>
    </w:p>
    <w:p>
      <w:r>
        <w:rPr>
          <w:rFonts w:hint="eastAsia"/>
          <w:b/>
          <w:bCs/>
          <w:sz w:val="20"/>
          <w:szCs w:val="20"/>
          <w:lang w:val="en-US" w:eastAsia="zh-CN"/>
        </w:rPr>
        <w:t>Proposal 5: For SDL+FDD carrier use wideband receiver filter, the reference sensitivity is defined to be met with all downlink component carriers active without the uplink carriers active.</w:t>
      </w:r>
    </w:p>
    <w:p>
      <w:pPr>
        <w:pStyle w:val="2"/>
        <w:jc w:val="left"/>
        <w:rPr>
          <w:rFonts w:hint="eastAsia" w:ascii="Times New Roman" w:hAnsi="Times New Roman" w:cs="Times New Roman"/>
          <w:b/>
          <w:bCs/>
          <w:sz w:val="20"/>
          <w:lang w:val="en-US" w:eastAsia="zh-CN"/>
        </w:rPr>
      </w:pPr>
      <w:r>
        <w:rPr>
          <w:rFonts w:hint="eastAsia" w:ascii="Times New Roman" w:hAnsi="Times New Roman" w:cs="Times New Roman"/>
          <w:b/>
          <w:bCs/>
          <w:sz w:val="20"/>
          <w:szCs w:val="20"/>
          <w:lang w:val="en-US" w:eastAsia="zh-CN"/>
        </w:rPr>
        <w:t>P</w:t>
      </w:r>
      <w:r>
        <w:rPr>
          <w:rFonts w:hint="eastAsia" w:ascii="Times New Roman" w:hAnsi="Times New Roman" w:cs="Times New Roman"/>
          <w:b/>
          <w:bCs/>
          <w:sz w:val="20"/>
          <w:lang w:val="en-US" w:eastAsia="zh-CN"/>
        </w:rPr>
        <w:t xml:space="preserve">roposal </w:t>
      </w:r>
      <w:r>
        <w:rPr>
          <w:rFonts w:hint="eastAsia" w:cs="Times New Roman"/>
          <w:b/>
          <w:bCs/>
          <w:sz w:val="20"/>
          <w:lang w:val="en-US" w:eastAsia="zh-CN"/>
        </w:rPr>
        <w:t>6:</w:t>
      </w:r>
      <w:r>
        <w:rPr>
          <w:rFonts w:hint="eastAsia" w:ascii="Times New Roman" w:hAnsi="Times New Roman" w:cs="Times New Roman"/>
          <w:b/>
          <w:bCs/>
          <w:sz w:val="20"/>
          <w:lang w:val="en-US" w:eastAsia="zh-CN"/>
        </w:rPr>
        <w:t xml:space="preserve"> To limit the n28 </w:t>
      </w:r>
      <w:r>
        <w:rPr>
          <w:rFonts w:hint="eastAsia" w:ascii="Times New Roman" w:hAnsi="Times New Roman" w:cs="Times New Roman"/>
          <w:b/>
          <w:bCs/>
          <w:sz w:val="20"/>
          <w:lang w:val="en-US" w:eastAsia="ja-JP"/>
        </w:rPr>
        <w:t>operation to the Region 1 range 703-733/758-788</w:t>
      </w:r>
      <w:r>
        <w:rPr>
          <w:rFonts w:hint="eastAsia" w:ascii="Times New Roman" w:hAnsi="Times New Roman" w:cs="Times New Roman"/>
          <w:b/>
          <w:bCs/>
          <w:sz w:val="20"/>
          <w:lang w:val="en-US" w:eastAsia="zh-CN"/>
        </w:rPr>
        <w:t xml:space="preserve"> for CA_n28A-n67A.</w:t>
      </w:r>
    </w:p>
    <w:p>
      <w:pPr>
        <w:pStyle w:val="2"/>
        <w:jc w:val="left"/>
        <w:rPr>
          <w:rFonts w:hint="default" w:ascii="Times New Roman" w:hAnsi="Times New Roman" w:cs="Times New Roman"/>
          <w:b/>
          <w:bCs/>
          <w:sz w:val="20"/>
          <w:lang w:val="en-US" w:eastAsia="zh-CN"/>
        </w:rPr>
      </w:pPr>
      <w:r>
        <w:rPr>
          <w:rFonts w:hint="eastAsia" w:ascii="Times New Roman" w:hAnsi="Times New Roman" w:cs="Times New Roman"/>
          <w:b/>
          <w:bCs/>
          <w:sz w:val="20"/>
          <w:lang w:val="en-US" w:eastAsia="zh-CN"/>
        </w:rPr>
        <w:t xml:space="preserve">Proposal </w:t>
      </w:r>
      <w:r>
        <w:rPr>
          <w:rFonts w:hint="eastAsia" w:cs="Times New Roman"/>
          <w:b/>
          <w:bCs/>
          <w:sz w:val="20"/>
          <w:lang w:val="en-US" w:eastAsia="zh-CN"/>
        </w:rPr>
        <w:t>7:</w:t>
      </w:r>
      <w:r>
        <w:rPr>
          <w:rFonts w:hint="eastAsia" w:ascii="Times New Roman" w:hAnsi="Times New Roman" w:cs="Times New Roman"/>
          <w:b/>
          <w:bCs/>
          <w:sz w:val="20"/>
          <w:lang w:val="en-US" w:eastAsia="zh-CN"/>
        </w:rPr>
        <w:t xml:space="preserve"> For CA_n12A-n29A and CA_n28A-n67A, two new NOTEs in out of band blocking Table 7.6.3-2 in TS38.101-1 should be added to include whole DL frequency range of the two DL bands.</w:t>
      </w:r>
    </w:p>
    <w:p>
      <w:pPr>
        <w:pStyle w:val="2"/>
        <w:rPr>
          <w:rFonts w:hint="eastAsia"/>
          <w:lang w:val="en-US" w:eastAsia="zh-CN"/>
        </w:rPr>
      </w:pPr>
      <w:r>
        <w:rPr>
          <w:rFonts w:hint="eastAsia" w:eastAsia="等线" w:cs="Times New Roman"/>
          <w:b/>
          <w:bCs/>
          <w:sz w:val="20"/>
          <w:szCs w:val="20"/>
          <w:lang w:val="en-US" w:eastAsia="zh-CN" w:bidi="ar-SA"/>
        </w:rPr>
        <w:t xml:space="preserve">Proposal </w:t>
      </w:r>
      <w:r>
        <w:rPr>
          <w:rFonts w:hint="eastAsia" w:cs="Times New Roman"/>
          <w:b/>
          <w:bCs/>
          <w:sz w:val="20"/>
          <w:szCs w:val="20"/>
          <w:lang w:val="en-US" w:eastAsia="zh-CN" w:bidi="ar-SA"/>
        </w:rPr>
        <w:t>8:</w:t>
      </w:r>
      <w:r>
        <w:rPr>
          <w:rFonts w:hint="eastAsia" w:eastAsia="等线" w:cs="Times New Roman"/>
          <w:b/>
          <w:bCs/>
          <w:sz w:val="20"/>
          <w:szCs w:val="20"/>
          <w:lang w:val="en-US" w:eastAsia="zh-CN" w:bidi="ar-SA"/>
        </w:rPr>
        <w:t xml:space="preserve"> Inform RAN2 that RAN4 introduce new dual DL switching case f</w:t>
      </w:r>
      <w:r>
        <w:rPr>
          <w:rFonts w:hint="eastAsia" w:ascii="Times New Roman" w:hAnsi="Times New Roman" w:eastAsia="等线" w:cs="Times New Roman"/>
          <w:b/>
          <w:bCs/>
          <w:sz w:val="20"/>
          <w:szCs w:val="20"/>
          <w:lang w:val="en-US" w:eastAsia="zh-CN" w:bidi="ar-SA"/>
        </w:rPr>
        <w:t>or signalling updating.</w:t>
      </w:r>
    </w:p>
    <w:p>
      <w:pPr>
        <w:keepNext w:val="0"/>
        <w:keepLines w:val="0"/>
        <w:pageBreakBefore w:val="0"/>
        <w:widowControl w:val="0"/>
        <w:pBdr>
          <w:top w:val="single" w:color="auto" w:sz="12" w:space="3"/>
        </w:pBdr>
        <w:kinsoku/>
        <w:wordWrap/>
        <w:topLinePunct w:val="0"/>
        <w:bidi w:val="0"/>
        <w:snapToGrid/>
        <w:spacing w:beforeLines="0" w:after="120" w:afterLines="0"/>
        <w:jc w:val="left"/>
        <w:outlineLvl w:val="0"/>
        <w:rPr>
          <w:b/>
          <w:kern w:val="0"/>
          <w:sz w:val="24"/>
          <w:szCs w:val="24"/>
          <w:highlight w:val="none"/>
        </w:rPr>
      </w:pPr>
      <w:bookmarkStart w:id="15" w:name="_GoBack"/>
      <w:bookmarkEnd w:id="15"/>
      <w:r>
        <w:rPr>
          <w:b/>
          <w:kern w:val="0"/>
          <w:sz w:val="24"/>
          <w:szCs w:val="24"/>
          <w:highlight w:val="none"/>
        </w:rPr>
        <w:t>4</w:t>
      </w:r>
      <w:r>
        <w:rPr>
          <w:b/>
          <w:kern w:val="0"/>
          <w:sz w:val="24"/>
          <w:szCs w:val="24"/>
          <w:highlight w:val="none"/>
        </w:rPr>
        <w:tab/>
      </w:r>
      <w:r>
        <w:rPr>
          <w:b/>
          <w:kern w:val="0"/>
          <w:sz w:val="24"/>
          <w:szCs w:val="24"/>
          <w:highlight w:val="none"/>
        </w:rPr>
        <w:t>Reference</w:t>
      </w:r>
    </w:p>
    <w:p>
      <w:pPr>
        <w:keepNext w:val="0"/>
        <w:keepLines w:val="0"/>
        <w:pageBreakBefore w:val="0"/>
        <w:widowControl/>
        <w:kinsoku/>
        <w:wordWrap/>
        <w:overflowPunct w:val="0"/>
        <w:topLinePunct w:val="0"/>
        <w:autoSpaceDE w:val="0"/>
        <w:autoSpaceDN w:val="0"/>
        <w:bidi w:val="0"/>
        <w:adjustRightInd w:val="0"/>
        <w:snapToGrid/>
        <w:spacing w:before="120" w:beforeLines="0" w:after="120" w:afterLines="0" w:line="240" w:lineRule="auto"/>
        <w:jc w:val="both"/>
        <w:textAlignment w:val="baseline"/>
        <w:rPr>
          <w:rFonts w:hint="eastAsia" w:ascii="Times New Roman" w:hAnsi="Times New Roman" w:eastAsia="宋体" w:cs="Times New Roman"/>
          <w:b w:val="0"/>
          <w:kern w:val="2"/>
          <w:sz w:val="20"/>
          <w:szCs w:val="20"/>
          <w:lang w:val="en-US" w:eastAsia="zh-CN" w:bidi="ar-SA"/>
        </w:rPr>
      </w:pPr>
      <w:r>
        <w:rPr>
          <w:rFonts w:hint="eastAsia" w:ascii="Times New Roman" w:hAnsi="Times New Roman" w:eastAsia="宋体" w:cs="Times New Roman"/>
          <w:b w:val="0"/>
          <w:kern w:val="2"/>
          <w:sz w:val="20"/>
          <w:szCs w:val="20"/>
          <w:lang w:val="en-US" w:eastAsia="zh-CN" w:bidi="ar-SA"/>
        </w:rPr>
        <w:t xml:space="preserve">[1] </w:t>
      </w:r>
      <w:bookmarkStart w:id="13" w:name="OLE_LINK8"/>
      <w:bookmarkStart w:id="14" w:name="OLE_LINK2"/>
      <w:r>
        <w:rPr>
          <w:rFonts w:hint="eastAsia" w:ascii="Times New Roman" w:hAnsi="Times New Roman" w:eastAsia="宋体" w:cs="Times New Roman"/>
          <w:b w:val="0"/>
          <w:kern w:val="2"/>
          <w:sz w:val="20"/>
          <w:szCs w:val="20"/>
          <w:lang w:val="en-US" w:eastAsia="zh-CN" w:bidi="ar-SA"/>
        </w:rPr>
        <w:t>RP-252953</w:t>
      </w:r>
      <w:bookmarkEnd w:id="13"/>
      <w:r>
        <w:rPr>
          <w:rFonts w:hint="eastAsia" w:ascii="Times New Roman" w:hAnsi="Times New Roman" w:eastAsia="宋体" w:cs="Times New Roman"/>
          <w:b w:val="0"/>
          <w:kern w:val="2"/>
          <w:sz w:val="20"/>
          <w:szCs w:val="20"/>
          <w:lang w:val="en-US" w:eastAsia="zh-CN" w:bidi="ar-SA"/>
        </w:rPr>
        <w:t>, New WID on enhancement of low NR band carrier aggregation via switching, Moderator (Huawei)</w:t>
      </w:r>
      <w:bookmarkEnd w:id="14"/>
      <w:r>
        <w:rPr>
          <w:rFonts w:hint="eastAsia" w:ascii="Times New Roman" w:hAnsi="Times New Roman" w:eastAsia="宋体" w:cs="Times New Roman"/>
          <w:b w:val="0"/>
          <w:kern w:val="2"/>
          <w:sz w:val="20"/>
          <w:szCs w:val="20"/>
          <w:lang w:val="en-US" w:eastAsia="zh-CN" w:bidi="ar-SA"/>
        </w:rPr>
        <w:t>.</w:t>
      </w:r>
    </w:p>
    <w:p>
      <w:pPr>
        <w:keepNext w:val="0"/>
        <w:keepLines w:val="0"/>
        <w:pageBreakBefore w:val="0"/>
        <w:widowControl/>
        <w:kinsoku/>
        <w:wordWrap/>
        <w:overflowPunct w:val="0"/>
        <w:topLinePunct w:val="0"/>
        <w:autoSpaceDE w:val="0"/>
        <w:autoSpaceDN w:val="0"/>
        <w:bidi w:val="0"/>
        <w:adjustRightInd w:val="0"/>
        <w:snapToGrid/>
        <w:spacing w:before="120" w:beforeLines="0" w:after="120" w:afterLines="0" w:line="240" w:lineRule="auto"/>
        <w:jc w:val="both"/>
        <w:textAlignment w:val="baseline"/>
        <w:rPr>
          <w:rFonts w:hint="default" w:ascii="Times New Roman" w:hAnsi="Times New Roman" w:eastAsia="宋体" w:cs="Times New Roman"/>
          <w:b w:val="0"/>
          <w:kern w:val="2"/>
          <w:sz w:val="20"/>
          <w:szCs w:val="20"/>
          <w:lang w:val="en-US" w:eastAsia="zh-CN" w:bidi="ar-SA"/>
        </w:rPr>
      </w:pPr>
      <w:r>
        <w:rPr>
          <w:rFonts w:hint="eastAsia" w:ascii="Times New Roman" w:hAnsi="Times New Roman" w:cs="Times New Roman"/>
          <w:b w:val="0"/>
          <w:kern w:val="2"/>
          <w:sz w:val="20"/>
          <w:szCs w:val="20"/>
          <w:lang w:val="en-US" w:eastAsia="zh-CN" w:bidi="ar-SA"/>
        </w:rPr>
        <w:t xml:space="preserve">[2] </w:t>
      </w:r>
      <w:r>
        <w:rPr>
          <w:rFonts w:hint="eastAsia" w:ascii="Times New Roman" w:hAnsi="Times New Roman" w:eastAsia="宋体" w:cs="Times New Roman"/>
          <w:b w:val="0"/>
          <w:kern w:val="2"/>
          <w:sz w:val="20"/>
          <w:szCs w:val="20"/>
          <w:lang w:val="en-US" w:eastAsia="zh-CN" w:bidi="ar-SA"/>
        </w:rPr>
        <w:t>R4-2515156</w:t>
      </w:r>
      <w:r>
        <w:rPr>
          <w:rFonts w:hint="eastAsia" w:ascii="Times New Roman" w:hAnsi="Times New Roman" w:cs="Times New Roman"/>
          <w:b w:val="0"/>
          <w:kern w:val="2"/>
          <w:sz w:val="20"/>
          <w:szCs w:val="20"/>
          <w:lang w:val="en-US" w:eastAsia="zh-CN" w:bidi="ar-SA"/>
        </w:rPr>
        <w:t xml:space="preserve">, </w:t>
      </w:r>
      <w:r>
        <w:rPr>
          <w:rFonts w:hint="eastAsia" w:ascii="Times New Roman" w:hAnsi="Times New Roman" w:eastAsia="宋体" w:cs="Times New Roman"/>
          <w:b w:val="0"/>
          <w:kern w:val="2"/>
          <w:sz w:val="20"/>
          <w:szCs w:val="20"/>
          <w:lang w:val="en-US" w:eastAsia="zh-CN" w:bidi="ar-SA"/>
        </w:rPr>
        <w:t>Way Forward for [116bis][320] NR_low_band_CA_switching</w:t>
      </w:r>
      <w:r>
        <w:rPr>
          <w:rFonts w:hint="eastAsia" w:ascii="Times New Roman" w:hAnsi="Times New Roman" w:cs="Times New Roman"/>
          <w:b w:val="0"/>
          <w:kern w:val="2"/>
          <w:sz w:val="20"/>
          <w:szCs w:val="20"/>
          <w:lang w:val="en-US" w:eastAsia="zh-CN" w:bidi="ar-SA"/>
        </w:rPr>
        <w:t>, Apple</w:t>
      </w:r>
    </w:p>
    <w:p>
      <w:pPr>
        <w:pStyle w:val="2"/>
        <w:rPr>
          <w:rFonts w:hint="eastAsia" w:ascii="Times New Roman" w:hAnsi="Times New Roman" w:eastAsia="宋体" w:cs="Times New Roman"/>
          <w:b w:val="0"/>
          <w:kern w:val="2"/>
          <w:sz w:val="20"/>
          <w:szCs w:val="20"/>
          <w:lang w:val="en-US" w:eastAsia="zh-CN" w:bidi="ar-SA"/>
        </w:rPr>
      </w:pPr>
      <w:r>
        <w:rPr>
          <w:rFonts w:hint="eastAsia" w:ascii="Times New Roman" w:hAnsi="Times New Roman" w:eastAsia="宋体" w:cs="Times New Roman"/>
          <w:b w:val="0"/>
          <w:kern w:val="2"/>
          <w:sz w:val="20"/>
          <w:szCs w:val="20"/>
          <w:lang w:val="en-US" w:eastAsia="zh-CN" w:bidi="ar-SA"/>
        </w:rPr>
        <w:t xml:space="preserve">[3] </w:t>
      </w:r>
      <w:r>
        <w:rPr>
          <w:rFonts w:hint="eastAsia" w:ascii="Times New Roman" w:hAnsi="Times New Roman" w:eastAsia="宋体" w:cs="Times New Roman"/>
          <w:b w:val="0"/>
          <w:kern w:val="2"/>
          <w:sz w:val="20"/>
          <w:szCs w:val="20"/>
          <w:lang w:val="en-US" w:eastAsia="zh-CN" w:bidi="ar-SA"/>
        </w:rPr>
        <w:fldChar w:fldCharType="begin"/>
      </w:r>
      <w:r>
        <w:rPr>
          <w:rFonts w:hint="eastAsia" w:ascii="Times New Roman" w:hAnsi="Times New Roman" w:eastAsia="宋体" w:cs="Times New Roman"/>
          <w:b w:val="0"/>
          <w:kern w:val="2"/>
          <w:sz w:val="20"/>
          <w:szCs w:val="20"/>
          <w:lang w:val="en-US" w:eastAsia="zh-CN" w:bidi="ar-SA"/>
        </w:rPr>
        <w:instrText xml:space="preserve"> HYPERLINK "http://www.3gpp.org/ftp/tsg_ran/WG4_Radio/TSGR4_116bis/Docs/R4-2513997.zip" </w:instrText>
      </w:r>
      <w:r>
        <w:rPr>
          <w:rFonts w:hint="eastAsia" w:ascii="Times New Roman" w:hAnsi="Times New Roman" w:eastAsia="宋体" w:cs="Times New Roman"/>
          <w:b w:val="0"/>
          <w:kern w:val="2"/>
          <w:sz w:val="20"/>
          <w:szCs w:val="20"/>
          <w:lang w:val="en-US" w:eastAsia="zh-CN" w:bidi="ar-SA"/>
        </w:rPr>
        <w:fldChar w:fldCharType="separate"/>
      </w:r>
      <w:r>
        <w:rPr>
          <w:rFonts w:hint="eastAsia" w:ascii="Times New Roman" w:hAnsi="Times New Roman" w:eastAsia="宋体" w:cs="Times New Roman"/>
          <w:b w:val="0"/>
          <w:kern w:val="2"/>
          <w:sz w:val="20"/>
          <w:szCs w:val="20"/>
          <w:lang w:val="en-US" w:eastAsia="zh-CN" w:bidi="ar-SA"/>
        </w:rPr>
        <w:t>R4-2513997</w:t>
      </w:r>
      <w:r>
        <w:rPr>
          <w:rFonts w:hint="eastAsia" w:ascii="Times New Roman" w:hAnsi="Times New Roman" w:eastAsia="宋体" w:cs="Times New Roman"/>
          <w:b w:val="0"/>
          <w:kern w:val="2"/>
          <w:sz w:val="20"/>
          <w:szCs w:val="20"/>
          <w:lang w:val="en-US" w:eastAsia="zh-CN" w:bidi="ar-SA"/>
        </w:rPr>
        <w:fldChar w:fldCharType="end"/>
      </w:r>
      <w:r>
        <w:rPr>
          <w:rFonts w:hint="eastAsia" w:ascii="Times New Roman" w:hAnsi="Times New Roman" w:eastAsia="宋体" w:cs="Times New Roman"/>
          <w:b w:val="0"/>
          <w:kern w:val="2"/>
          <w:sz w:val="20"/>
          <w:szCs w:val="20"/>
          <w:lang w:val="en-US" w:eastAsia="zh-CN" w:bidi="ar-SA"/>
        </w:rPr>
        <w:t>, Discussion on R20 low-low band CA via switching, ZTE Corporation, Sanechips</w:t>
      </w:r>
    </w:p>
    <w:p>
      <w:pPr>
        <w:pStyle w:val="2"/>
        <w:rPr>
          <w:rFonts w:hint="default" w:ascii="Times New Roman" w:hAnsi="Times New Roman" w:eastAsia="宋体" w:cs="Times New Roman"/>
          <w:b w:val="0"/>
          <w:kern w:val="2"/>
          <w:sz w:val="20"/>
          <w:szCs w:val="20"/>
          <w:lang w:val="en-US" w:eastAsia="zh-CN" w:bidi="ar-SA"/>
        </w:rPr>
      </w:pPr>
      <w:r>
        <w:rPr>
          <w:rFonts w:hint="eastAsia" w:ascii="Times New Roman" w:hAnsi="Times New Roman" w:eastAsia="宋体" w:cs="Times New Roman"/>
          <w:b w:val="0"/>
          <w:kern w:val="2"/>
          <w:sz w:val="20"/>
          <w:szCs w:val="20"/>
          <w:lang w:val="en-US" w:eastAsia="zh-CN" w:bidi="ar-SA"/>
        </w:rPr>
        <w:t xml:space="preserve">[4] R4-RP-252702, </w:t>
      </w:r>
      <w:r>
        <w:rPr>
          <w:rFonts w:hint="default" w:ascii="Times New Roman" w:hAnsi="Times New Roman" w:eastAsia="宋体" w:cs="Times New Roman"/>
          <w:b w:val="0"/>
          <w:kern w:val="2"/>
          <w:sz w:val="20"/>
          <w:szCs w:val="20"/>
          <w:lang w:val="en-US" w:eastAsia="zh-CN" w:bidi="ar-SA"/>
        </w:rPr>
        <w:t>Motivation for low-band carrier aggregation via switching enhancement in Rel-20</w:t>
      </w:r>
      <w:r>
        <w:rPr>
          <w:rFonts w:hint="eastAsia" w:ascii="Times New Roman" w:hAnsi="Times New Roman" w:eastAsia="宋体" w:cs="Times New Roman"/>
          <w:b w:val="0"/>
          <w:kern w:val="2"/>
          <w:sz w:val="20"/>
          <w:szCs w:val="20"/>
          <w:lang w:val="en-US" w:eastAsia="zh-CN" w:bidi="ar-SA"/>
        </w:rPr>
        <w:t>,TELUS, Bell Mobility, Apple, BT plc, Skyworks Solutions, Inc, Murata, AT&amp;T</w:t>
      </w:r>
    </w:p>
    <w:p>
      <w:pPr>
        <w:pStyle w:val="75"/>
        <w:framePr w:wrap="auto" w:vAnchor="margin" w:hAnchor="text" w:yAlign="inline"/>
        <w:wordWrap/>
        <w:jc w:val="left"/>
        <w:rPr>
          <w:rFonts w:hint="eastAsia" w:ascii="Times New Roman" w:hAnsi="Times New Roman" w:eastAsia="宋体" w:cs="Times New Roman"/>
          <w:b w:val="0"/>
          <w:kern w:val="2"/>
          <w:sz w:val="20"/>
          <w:szCs w:val="20"/>
          <w:lang w:val="en-US" w:eastAsia="zh-CN" w:bidi="ar-SA"/>
        </w:rPr>
      </w:pPr>
      <w:r>
        <w:rPr>
          <w:rFonts w:hint="eastAsia" w:ascii="Times New Roman" w:hAnsi="Times New Roman" w:eastAsia="宋体" w:cs="Times New Roman"/>
          <w:b w:val="0"/>
          <w:kern w:val="2"/>
          <w:sz w:val="20"/>
          <w:szCs w:val="20"/>
          <w:lang w:val="en-US" w:eastAsia="zh-CN" w:bidi="ar-SA"/>
        </w:rPr>
        <w:t>[5] R4-2511883, Rel-19 RAN4 UE</w:t>
      </w:r>
      <w:r>
        <w:rPr>
          <w:rFonts w:hint="default" w:ascii="Times New Roman" w:hAnsi="Times New Roman" w:eastAsia="宋体" w:cs="Times New Roman"/>
          <w:b w:val="0"/>
          <w:kern w:val="2"/>
          <w:sz w:val="20"/>
          <w:szCs w:val="20"/>
          <w:lang w:val="en-US" w:eastAsia="zh-CN" w:bidi="ar-SA"/>
        </w:rPr>
        <w:t xml:space="preserve"> feature list </w:t>
      </w:r>
      <w:r>
        <w:rPr>
          <w:rFonts w:hint="eastAsia" w:ascii="Times New Roman" w:hAnsi="Times New Roman" w:eastAsia="宋体" w:cs="Times New Roman"/>
          <w:b w:val="0"/>
          <w:kern w:val="2"/>
          <w:sz w:val="20"/>
          <w:szCs w:val="20"/>
          <w:lang w:val="en-US" w:eastAsia="zh-CN" w:bidi="ar-SA"/>
        </w:rPr>
        <w:t>for NR</w:t>
      </w:r>
      <w:r>
        <w:rPr>
          <w:rFonts w:hint="default" w:ascii="Times New Roman" w:hAnsi="Times New Roman" w:eastAsia="宋体" w:cs="Times New Roman"/>
          <w:b w:val="0"/>
          <w:kern w:val="2"/>
          <w:sz w:val="20"/>
          <w:szCs w:val="20"/>
          <w:lang w:val="en-US" w:eastAsia="zh-CN" w:bidi="ar-SA"/>
        </w:rPr>
        <w:t xml:space="preserve"> (version </w:t>
      </w:r>
      <w:r>
        <w:rPr>
          <w:rFonts w:hint="eastAsia" w:ascii="Times New Roman" w:hAnsi="Times New Roman" w:eastAsia="宋体" w:cs="Times New Roman"/>
          <w:b w:val="0"/>
          <w:kern w:val="2"/>
          <w:sz w:val="20"/>
          <w:szCs w:val="20"/>
          <w:lang w:val="en-US" w:eastAsia="zh-CN" w:bidi="ar-SA"/>
        </w:rPr>
        <w:t>2</w:t>
      </w:r>
      <w:r>
        <w:rPr>
          <w:rFonts w:hint="default" w:ascii="Times New Roman" w:hAnsi="Times New Roman" w:eastAsia="宋体" w:cs="Times New Roman"/>
          <w:b w:val="0"/>
          <w:kern w:val="2"/>
          <w:sz w:val="20"/>
          <w:szCs w:val="20"/>
          <w:lang w:val="en-US" w:eastAsia="zh-CN" w:bidi="ar-SA"/>
        </w:rPr>
        <w:t>)</w:t>
      </w:r>
      <w:r>
        <w:rPr>
          <w:rFonts w:hint="eastAsia" w:ascii="Times New Roman" w:hAnsi="Times New Roman" w:eastAsia="宋体" w:cs="Times New Roman"/>
          <w:b w:val="0"/>
          <w:kern w:val="2"/>
          <w:sz w:val="20"/>
          <w:szCs w:val="20"/>
          <w:lang w:val="en-US" w:eastAsia="zh-CN" w:bidi="ar-SA"/>
        </w:rPr>
        <w:t>, CMCC</w:t>
      </w:r>
    </w:p>
    <w:p>
      <w:pPr>
        <w:pStyle w:val="75"/>
        <w:framePr w:wrap="auto" w:vAnchor="margin" w:hAnchor="text" w:yAlign="inline"/>
        <w:wordWrap/>
        <w:jc w:val="left"/>
        <w:rPr>
          <w:rFonts w:hint="default" w:ascii="Times New Roman" w:hAnsi="Times New Roman" w:eastAsia="宋体" w:cs="Times New Roman"/>
          <w:b w:val="0"/>
          <w:kern w:val="2"/>
          <w:sz w:val="20"/>
          <w:szCs w:val="20"/>
          <w:lang w:val="en-US" w:eastAsia="zh-CN" w:bidi="ar-SA"/>
        </w:rPr>
      </w:pPr>
    </w:p>
    <w:p>
      <w:pPr>
        <w:keepNext w:val="0"/>
        <w:keepLines w:val="0"/>
        <w:pageBreakBefore w:val="0"/>
        <w:widowControl/>
        <w:kinsoku/>
        <w:wordWrap/>
        <w:overflowPunct w:val="0"/>
        <w:topLinePunct w:val="0"/>
        <w:autoSpaceDE w:val="0"/>
        <w:autoSpaceDN w:val="0"/>
        <w:bidi w:val="0"/>
        <w:adjustRightInd w:val="0"/>
        <w:snapToGrid/>
        <w:spacing w:before="120" w:beforeLines="0" w:after="120" w:afterLines="0" w:line="240" w:lineRule="auto"/>
        <w:jc w:val="both"/>
        <w:textAlignment w:val="baseline"/>
        <w:rPr>
          <w:rFonts w:hint="default"/>
          <w:sz w:val="20"/>
          <w:szCs w:val="20"/>
          <w:lang w:val="en-US" w:eastAsia="zh-TW"/>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等线">
    <w:panose1 w:val="02010600030101010101"/>
    <w:charset w:val="86"/>
    <w:family w:val="auto"/>
    <w:pitch w:val="default"/>
    <w:sig w:usb0="A00002BF" w:usb1="38CF7CFA" w:usb2="00000016" w:usb3="00000000" w:csb0="0004000F" w:csb1="00000000"/>
  </w:font>
  <w:font w:name="Calibri">
    <w:panose1 w:val="020F0502020204030204"/>
    <w:charset w:val="00"/>
    <w:family w:val="swiss"/>
    <w:pitch w:val="default"/>
    <w:sig w:usb0="E0002EFF" w:usb1="C000247B" w:usb2="00000009" w:usb3="00000000" w:csb0="200001FF" w:csb1="00000000"/>
  </w:font>
  <w:font w:name="v5.0.0">
    <w:altName w:val="Times New Roman"/>
    <w:panose1 w:val="00000000000000000000"/>
    <w:charset w:val="00"/>
    <w:family w:val="roman"/>
    <w:pitch w:val="default"/>
    <w:sig w:usb0="00000000" w:usb1="00000000" w:usb2="00000000" w:usb3="00000000" w:csb0="00000000" w:csb1="00000000"/>
  </w:font>
  <w:font w:name="MS PGothic">
    <w:panose1 w:val="020B0600070205080204"/>
    <w:charset w:val="80"/>
    <w:family w:val="swiss"/>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7"/>
          <w:spacing w:before="120" w:after="120"/>
          <w:jc w:val="center"/>
        </w:pPr>
        <w:r>
          <w:fldChar w:fldCharType="begin"/>
        </w:r>
        <w:r>
          <w:instrText xml:space="preserve"> PAGE   \* MERGEFORMAT </w:instrText>
        </w:r>
        <w:r>
          <w:fldChar w:fldCharType="separate"/>
        </w:r>
        <w:r>
          <w:t>1</w:t>
        </w:r>
        <w:r>
          <w:fldChar w:fldCharType="end"/>
        </w:r>
      </w:p>
    </w:sdtContent>
  </w:sdt>
  <w:p>
    <w:pPr>
      <w:pStyle w:val="17"/>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7"/>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6"/>
      <w:lvlText w:val="•"/>
      <w:lvlJc w:val="left"/>
      <w:pPr>
        <w:tabs>
          <w:tab w:val="left" w:pos="807"/>
        </w:tabs>
        <w:ind w:left="420" w:firstLine="0"/>
      </w:pPr>
      <w:rPr>
        <w:rFonts w:hint="default" w:ascii="Arial" w:hAnsi="Arial" w:cs="Arial"/>
      </w:rPr>
    </w:lvl>
  </w:abstractNum>
  <w:abstractNum w:abstractNumId="2">
    <w:nsid w:val="0BDD5F2B"/>
    <w:multiLevelType w:val="multilevel"/>
    <w:tmpl w:val="0BDD5F2B"/>
    <w:lvl w:ilvl="0" w:tentative="0">
      <w:start w:val="1"/>
      <w:numFmt w:val="decimal"/>
      <w:pStyle w:val="3"/>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4"/>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5"/>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31343BB7"/>
    <w:multiLevelType w:val="singleLevel"/>
    <w:tmpl w:val="31343BB7"/>
    <w:lvl w:ilvl="0" w:tentative="0">
      <w:start w:val="1"/>
      <w:numFmt w:val="decimal"/>
      <w:pStyle w:val="33"/>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4">
    <w:nsid w:val="3A877D64"/>
    <w:multiLevelType w:val="singleLevel"/>
    <w:tmpl w:val="3A877D64"/>
    <w:lvl w:ilvl="0" w:tentative="0">
      <w:start w:val="1"/>
      <w:numFmt w:val="decimal"/>
      <w:pStyle w:val="34"/>
      <w:lvlText w:val="[%1]"/>
      <w:lvlJc w:val="left"/>
      <w:pPr>
        <w:tabs>
          <w:tab w:val="left" w:pos="360"/>
        </w:tabs>
        <w:ind w:left="360" w:hanging="360"/>
      </w:pPr>
    </w:lvl>
  </w:abstractNum>
  <w:abstractNum w:abstractNumId="5">
    <w:nsid w:val="4D783985"/>
    <w:multiLevelType w:val="multilevel"/>
    <w:tmpl w:val="4D783985"/>
    <w:lvl w:ilvl="0" w:tentative="0">
      <w:start w:val="1"/>
      <w:numFmt w:val="bullet"/>
      <w:lvlText w:val=""/>
      <w:lvlJc w:val="left"/>
      <w:pPr>
        <w:ind w:left="440" w:hanging="440"/>
      </w:pPr>
      <w:rPr>
        <w:rFonts w:hint="default" w:ascii="Wingdings" w:hAnsi="Wingdings"/>
      </w:rPr>
    </w:lvl>
    <w:lvl w:ilvl="1" w:tentative="0">
      <w:start w:val="1"/>
      <w:numFmt w:val="bullet"/>
      <w:lvlText w:val="o"/>
      <w:lvlJc w:val="left"/>
      <w:pPr>
        <w:ind w:left="440" w:hanging="440"/>
      </w:pPr>
      <w:rPr>
        <w:rFonts w:hint="default" w:ascii="Courier New" w:hAnsi="Courier New" w:cs="Courier New"/>
      </w:rPr>
    </w:lvl>
    <w:lvl w:ilvl="2" w:tentative="0">
      <w:start w:val="7"/>
      <w:numFmt w:val="bullet"/>
      <w:lvlText w:val="•"/>
      <w:lvlJc w:val="left"/>
      <w:pPr>
        <w:ind w:left="1320" w:hanging="440"/>
      </w:pPr>
      <w:rPr>
        <w:rFonts w:hint="default" w:ascii="Calibri" w:hAnsi="Calibri" w:cs="Calibri" w:eastAsiaTheme="minorHAnsi"/>
      </w:rPr>
    </w:lvl>
    <w:lvl w:ilvl="3" w:tentative="0">
      <w:start w:val="1"/>
      <w:numFmt w:val="bullet"/>
      <w:lvlText w:val="−"/>
      <w:lvlJc w:val="left"/>
      <w:pPr>
        <w:ind w:left="1760" w:hanging="440"/>
      </w:pPr>
      <w:rPr>
        <w:rFonts w:hint="default" w:ascii="Arial" w:hAnsi="Arial" w:cs="Arial"/>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6">
    <w:nsid w:val="5BAA8B4C"/>
    <w:multiLevelType w:val="multilevel"/>
    <w:tmpl w:val="5BAA8B4C"/>
    <w:lvl w:ilvl="0" w:tentative="0">
      <w:start w:val="1"/>
      <w:numFmt w:val="decimal"/>
      <w:pStyle w:val="32"/>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5"/>
      <w:lvlText w:val="•"/>
      <w:lvlJc w:val="left"/>
      <w:pPr>
        <w:tabs>
          <w:tab w:val="left" w:pos="840"/>
        </w:tabs>
        <w:ind w:left="840" w:hanging="420"/>
      </w:pPr>
      <w:rPr>
        <w:rFonts w:hint="default" w:ascii="Arial" w:hAnsi="Arial" w:eastAsia="宋体" w:cs="Arial"/>
        <w:b/>
        <w:bCs/>
        <w:i/>
        <w:iCs/>
      </w:rPr>
    </w:lvl>
    <w:lvl w:ilvl="2" w:tentative="0">
      <w:start w:val="1"/>
      <w:numFmt w:val="bullet"/>
      <w:pStyle w:val="46"/>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num w:numId="1">
    <w:abstractNumId w:val="2"/>
  </w:num>
  <w:num w:numId="2">
    <w:abstractNumId w:val="6"/>
  </w:num>
  <w:num w:numId="3">
    <w:abstractNumId w:val="3"/>
  </w:num>
  <w:num w:numId="4">
    <w:abstractNumId w:val="4"/>
  </w:num>
  <w:num w:numId="5">
    <w:abstractNumId w:val="1"/>
  </w:num>
  <w:num w:numId="6">
    <w:abstractNumId w:val="0"/>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6619"/>
    <w:rsid w:val="0002662B"/>
    <w:rsid w:val="00026F05"/>
    <w:rsid w:val="0002708F"/>
    <w:rsid w:val="00055E90"/>
    <w:rsid w:val="0006398D"/>
    <w:rsid w:val="00066A99"/>
    <w:rsid w:val="00073869"/>
    <w:rsid w:val="0008331E"/>
    <w:rsid w:val="000854F3"/>
    <w:rsid w:val="000913AF"/>
    <w:rsid w:val="000A4133"/>
    <w:rsid w:val="000A4385"/>
    <w:rsid w:val="000A5F2D"/>
    <w:rsid w:val="000A7E5B"/>
    <w:rsid w:val="000B306C"/>
    <w:rsid w:val="000B72CE"/>
    <w:rsid w:val="000C6FD0"/>
    <w:rsid w:val="000D2BFF"/>
    <w:rsid w:val="000D57E0"/>
    <w:rsid w:val="000E17BC"/>
    <w:rsid w:val="000E2366"/>
    <w:rsid w:val="000F331A"/>
    <w:rsid w:val="000F4E67"/>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37A6E"/>
    <w:rsid w:val="00237CA9"/>
    <w:rsid w:val="00243827"/>
    <w:rsid w:val="00251D82"/>
    <w:rsid w:val="00256654"/>
    <w:rsid w:val="00263BFE"/>
    <w:rsid w:val="002721B8"/>
    <w:rsid w:val="00284819"/>
    <w:rsid w:val="00291C5F"/>
    <w:rsid w:val="002A5285"/>
    <w:rsid w:val="002B317A"/>
    <w:rsid w:val="002B7F9A"/>
    <w:rsid w:val="002C38DE"/>
    <w:rsid w:val="002D17CE"/>
    <w:rsid w:val="002D2488"/>
    <w:rsid w:val="002D535F"/>
    <w:rsid w:val="002E5075"/>
    <w:rsid w:val="002F60C6"/>
    <w:rsid w:val="00301C69"/>
    <w:rsid w:val="00307D72"/>
    <w:rsid w:val="00314629"/>
    <w:rsid w:val="00332ECB"/>
    <w:rsid w:val="003554B9"/>
    <w:rsid w:val="00360CB6"/>
    <w:rsid w:val="00365C81"/>
    <w:rsid w:val="00371A27"/>
    <w:rsid w:val="0037274A"/>
    <w:rsid w:val="00380EC3"/>
    <w:rsid w:val="00384FD2"/>
    <w:rsid w:val="0038701B"/>
    <w:rsid w:val="003875B1"/>
    <w:rsid w:val="003A449D"/>
    <w:rsid w:val="003A49A7"/>
    <w:rsid w:val="003A58AB"/>
    <w:rsid w:val="003A69A9"/>
    <w:rsid w:val="003B45A9"/>
    <w:rsid w:val="003B4D5C"/>
    <w:rsid w:val="003D6404"/>
    <w:rsid w:val="003E2CA8"/>
    <w:rsid w:val="003E571A"/>
    <w:rsid w:val="004005E1"/>
    <w:rsid w:val="00403A84"/>
    <w:rsid w:val="004127DE"/>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6E8D"/>
    <w:rsid w:val="004E7D56"/>
    <w:rsid w:val="004F40F6"/>
    <w:rsid w:val="004F5309"/>
    <w:rsid w:val="005060AB"/>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055BA"/>
    <w:rsid w:val="00610622"/>
    <w:rsid w:val="00610E84"/>
    <w:rsid w:val="00613622"/>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A4F63"/>
    <w:rsid w:val="006C4128"/>
    <w:rsid w:val="006C4FC1"/>
    <w:rsid w:val="006D0BE3"/>
    <w:rsid w:val="006D73E7"/>
    <w:rsid w:val="006E07F5"/>
    <w:rsid w:val="006E2948"/>
    <w:rsid w:val="006F1E71"/>
    <w:rsid w:val="00706AF9"/>
    <w:rsid w:val="007100E9"/>
    <w:rsid w:val="00713289"/>
    <w:rsid w:val="00721C3B"/>
    <w:rsid w:val="007238ED"/>
    <w:rsid w:val="007274EB"/>
    <w:rsid w:val="00735D0D"/>
    <w:rsid w:val="00746E22"/>
    <w:rsid w:val="00756220"/>
    <w:rsid w:val="00764336"/>
    <w:rsid w:val="00776540"/>
    <w:rsid w:val="0078265C"/>
    <w:rsid w:val="00785CCD"/>
    <w:rsid w:val="007864BC"/>
    <w:rsid w:val="0079394F"/>
    <w:rsid w:val="007A111A"/>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2667C"/>
    <w:rsid w:val="00935D52"/>
    <w:rsid w:val="00944A9F"/>
    <w:rsid w:val="00945902"/>
    <w:rsid w:val="00954CEE"/>
    <w:rsid w:val="00957C85"/>
    <w:rsid w:val="00960230"/>
    <w:rsid w:val="00962FE8"/>
    <w:rsid w:val="0096312C"/>
    <w:rsid w:val="0096379A"/>
    <w:rsid w:val="009727FD"/>
    <w:rsid w:val="00972B04"/>
    <w:rsid w:val="00975C4A"/>
    <w:rsid w:val="00985071"/>
    <w:rsid w:val="00993F32"/>
    <w:rsid w:val="009C165E"/>
    <w:rsid w:val="009C4D8C"/>
    <w:rsid w:val="009C779F"/>
    <w:rsid w:val="009D77AD"/>
    <w:rsid w:val="009E2DC5"/>
    <w:rsid w:val="009F300C"/>
    <w:rsid w:val="009F72E0"/>
    <w:rsid w:val="00A1419A"/>
    <w:rsid w:val="00A2192E"/>
    <w:rsid w:val="00A307A0"/>
    <w:rsid w:val="00A36F0A"/>
    <w:rsid w:val="00A45420"/>
    <w:rsid w:val="00A51603"/>
    <w:rsid w:val="00A55ACD"/>
    <w:rsid w:val="00A56951"/>
    <w:rsid w:val="00A56B38"/>
    <w:rsid w:val="00A66ED0"/>
    <w:rsid w:val="00A71700"/>
    <w:rsid w:val="00A73727"/>
    <w:rsid w:val="00A8158C"/>
    <w:rsid w:val="00A827D7"/>
    <w:rsid w:val="00A8652B"/>
    <w:rsid w:val="00A96342"/>
    <w:rsid w:val="00A9687A"/>
    <w:rsid w:val="00AA0C45"/>
    <w:rsid w:val="00AB1D66"/>
    <w:rsid w:val="00AB7E4D"/>
    <w:rsid w:val="00AC3E7C"/>
    <w:rsid w:val="00AC4B90"/>
    <w:rsid w:val="00AC5600"/>
    <w:rsid w:val="00AD02C9"/>
    <w:rsid w:val="00AE4768"/>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768BC"/>
    <w:rsid w:val="00B92BB4"/>
    <w:rsid w:val="00BB0A84"/>
    <w:rsid w:val="00BB7052"/>
    <w:rsid w:val="00BC2AB7"/>
    <w:rsid w:val="00BE107C"/>
    <w:rsid w:val="00BE1368"/>
    <w:rsid w:val="00BE3935"/>
    <w:rsid w:val="00BF009E"/>
    <w:rsid w:val="00BF62E8"/>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67499"/>
    <w:rsid w:val="00C75C5D"/>
    <w:rsid w:val="00C83A72"/>
    <w:rsid w:val="00C928AB"/>
    <w:rsid w:val="00C95F42"/>
    <w:rsid w:val="00CA08F3"/>
    <w:rsid w:val="00CA283F"/>
    <w:rsid w:val="00CA568B"/>
    <w:rsid w:val="00CB1EDD"/>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DF68AA"/>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7D26"/>
    <w:rsid w:val="00F71837"/>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1646D7"/>
    <w:rsid w:val="011A0B49"/>
    <w:rsid w:val="013A784D"/>
    <w:rsid w:val="01412F9D"/>
    <w:rsid w:val="014A0623"/>
    <w:rsid w:val="014C67F3"/>
    <w:rsid w:val="01536583"/>
    <w:rsid w:val="01572FC3"/>
    <w:rsid w:val="015D5596"/>
    <w:rsid w:val="016C6BB5"/>
    <w:rsid w:val="01764F01"/>
    <w:rsid w:val="01773BF8"/>
    <w:rsid w:val="01797025"/>
    <w:rsid w:val="017D1AFD"/>
    <w:rsid w:val="018107C9"/>
    <w:rsid w:val="01854FE9"/>
    <w:rsid w:val="018E0802"/>
    <w:rsid w:val="018E207B"/>
    <w:rsid w:val="0190283E"/>
    <w:rsid w:val="019833BF"/>
    <w:rsid w:val="019D155B"/>
    <w:rsid w:val="01A428BB"/>
    <w:rsid w:val="01AA53CD"/>
    <w:rsid w:val="01AE307F"/>
    <w:rsid w:val="01B35169"/>
    <w:rsid w:val="01BA1962"/>
    <w:rsid w:val="01BA23D7"/>
    <w:rsid w:val="01C00B7B"/>
    <w:rsid w:val="01C43576"/>
    <w:rsid w:val="01C940D5"/>
    <w:rsid w:val="01CA5EE6"/>
    <w:rsid w:val="01D441F8"/>
    <w:rsid w:val="01D46B8D"/>
    <w:rsid w:val="01D66D85"/>
    <w:rsid w:val="01D866D8"/>
    <w:rsid w:val="01EE2663"/>
    <w:rsid w:val="01FB366B"/>
    <w:rsid w:val="01FD3930"/>
    <w:rsid w:val="01FE3350"/>
    <w:rsid w:val="02036722"/>
    <w:rsid w:val="02102371"/>
    <w:rsid w:val="021B7C87"/>
    <w:rsid w:val="021E522C"/>
    <w:rsid w:val="022D4A6E"/>
    <w:rsid w:val="023B0A39"/>
    <w:rsid w:val="023C78A7"/>
    <w:rsid w:val="02444B7E"/>
    <w:rsid w:val="024929E9"/>
    <w:rsid w:val="024B023C"/>
    <w:rsid w:val="024D6B6A"/>
    <w:rsid w:val="02510B5E"/>
    <w:rsid w:val="02566C17"/>
    <w:rsid w:val="025F524E"/>
    <w:rsid w:val="02610521"/>
    <w:rsid w:val="02650658"/>
    <w:rsid w:val="027275A1"/>
    <w:rsid w:val="027371D9"/>
    <w:rsid w:val="0276366F"/>
    <w:rsid w:val="027F646E"/>
    <w:rsid w:val="028A7312"/>
    <w:rsid w:val="028F64C2"/>
    <w:rsid w:val="028F6D4C"/>
    <w:rsid w:val="0291553A"/>
    <w:rsid w:val="029A69A7"/>
    <w:rsid w:val="029B04E7"/>
    <w:rsid w:val="029E1300"/>
    <w:rsid w:val="02A64DF3"/>
    <w:rsid w:val="02BB5A8C"/>
    <w:rsid w:val="02C2332C"/>
    <w:rsid w:val="02CD2724"/>
    <w:rsid w:val="02DC3F9C"/>
    <w:rsid w:val="02DC73AA"/>
    <w:rsid w:val="02E015BB"/>
    <w:rsid w:val="02EC257A"/>
    <w:rsid w:val="02F12CE4"/>
    <w:rsid w:val="02F87E96"/>
    <w:rsid w:val="02FE027C"/>
    <w:rsid w:val="03073BDC"/>
    <w:rsid w:val="030B0647"/>
    <w:rsid w:val="030C40C1"/>
    <w:rsid w:val="031C15A9"/>
    <w:rsid w:val="03206AD1"/>
    <w:rsid w:val="03362153"/>
    <w:rsid w:val="03445E8F"/>
    <w:rsid w:val="035154D3"/>
    <w:rsid w:val="03527C38"/>
    <w:rsid w:val="035402E6"/>
    <w:rsid w:val="0356746F"/>
    <w:rsid w:val="03746F87"/>
    <w:rsid w:val="037C4E46"/>
    <w:rsid w:val="03814F5B"/>
    <w:rsid w:val="038B3141"/>
    <w:rsid w:val="03966EAF"/>
    <w:rsid w:val="03A73C79"/>
    <w:rsid w:val="03A77DFA"/>
    <w:rsid w:val="03AB0B27"/>
    <w:rsid w:val="03B339B1"/>
    <w:rsid w:val="03C05350"/>
    <w:rsid w:val="03C1287B"/>
    <w:rsid w:val="03C36B0E"/>
    <w:rsid w:val="03CF67FA"/>
    <w:rsid w:val="03D047A4"/>
    <w:rsid w:val="03D9187E"/>
    <w:rsid w:val="03DF17D9"/>
    <w:rsid w:val="03E358F3"/>
    <w:rsid w:val="03E84DE8"/>
    <w:rsid w:val="04030035"/>
    <w:rsid w:val="040A1194"/>
    <w:rsid w:val="04251A4C"/>
    <w:rsid w:val="042D2E97"/>
    <w:rsid w:val="04305EA0"/>
    <w:rsid w:val="043865BF"/>
    <w:rsid w:val="04431205"/>
    <w:rsid w:val="044657E5"/>
    <w:rsid w:val="044C78D8"/>
    <w:rsid w:val="04537B11"/>
    <w:rsid w:val="0457028C"/>
    <w:rsid w:val="04684A28"/>
    <w:rsid w:val="04730C2E"/>
    <w:rsid w:val="04782230"/>
    <w:rsid w:val="0479507E"/>
    <w:rsid w:val="04816469"/>
    <w:rsid w:val="04820023"/>
    <w:rsid w:val="0482085E"/>
    <w:rsid w:val="04894975"/>
    <w:rsid w:val="048D0C34"/>
    <w:rsid w:val="04B14B03"/>
    <w:rsid w:val="04C21954"/>
    <w:rsid w:val="04DA1A87"/>
    <w:rsid w:val="04DE2DA3"/>
    <w:rsid w:val="04DE504C"/>
    <w:rsid w:val="04FF1C94"/>
    <w:rsid w:val="04FF7D5A"/>
    <w:rsid w:val="0502349F"/>
    <w:rsid w:val="050E7487"/>
    <w:rsid w:val="051126EC"/>
    <w:rsid w:val="05161D2D"/>
    <w:rsid w:val="0522500E"/>
    <w:rsid w:val="052E568F"/>
    <w:rsid w:val="053973F0"/>
    <w:rsid w:val="053E65E7"/>
    <w:rsid w:val="0555228E"/>
    <w:rsid w:val="055C5454"/>
    <w:rsid w:val="05705DB7"/>
    <w:rsid w:val="05742B1B"/>
    <w:rsid w:val="05770104"/>
    <w:rsid w:val="057D1D66"/>
    <w:rsid w:val="059A6453"/>
    <w:rsid w:val="059D265F"/>
    <w:rsid w:val="05B121AC"/>
    <w:rsid w:val="05B16FE4"/>
    <w:rsid w:val="05B2756C"/>
    <w:rsid w:val="05B421E3"/>
    <w:rsid w:val="05B64C84"/>
    <w:rsid w:val="05B92EC1"/>
    <w:rsid w:val="05D03328"/>
    <w:rsid w:val="05E078B3"/>
    <w:rsid w:val="05E84F40"/>
    <w:rsid w:val="0601277E"/>
    <w:rsid w:val="060C5AED"/>
    <w:rsid w:val="06103146"/>
    <w:rsid w:val="06107BD8"/>
    <w:rsid w:val="06172561"/>
    <w:rsid w:val="06190837"/>
    <w:rsid w:val="061C39BE"/>
    <w:rsid w:val="061E54DA"/>
    <w:rsid w:val="061E5E22"/>
    <w:rsid w:val="06212672"/>
    <w:rsid w:val="06254DA5"/>
    <w:rsid w:val="06415503"/>
    <w:rsid w:val="06460B91"/>
    <w:rsid w:val="064D0F68"/>
    <w:rsid w:val="0654187C"/>
    <w:rsid w:val="065475DE"/>
    <w:rsid w:val="065D586C"/>
    <w:rsid w:val="06725291"/>
    <w:rsid w:val="06760DBE"/>
    <w:rsid w:val="067C28D6"/>
    <w:rsid w:val="068E06BC"/>
    <w:rsid w:val="069201CB"/>
    <w:rsid w:val="06A03E91"/>
    <w:rsid w:val="06A27E98"/>
    <w:rsid w:val="06AB7C30"/>
    <w:rsid w:val="06B741D9"/>
    <w:rsid w:val="06C457B6"/>
    <w:rsid w:val="06C55827"/>
    <w:rsid w:val="06CD4A70"/>
    <w:rsid w:val="06DF4C13"/>
    <w:rsid w:val="06E22BD9"/>
    <w:rsid w:val="06E7678C"/>
    <w:rsid w:val="06EC4A95"/>
    <w:rsid w:val="06F42A88"/>
    <w:rsid w:val="06F801C0"/>
    <w:rsid w:val="06F90600"/>
    <w:rsid w:val="06FB38AA"/>
    <w:rsid w:val="070F28B2"/>
    <w:rsid w:val="071C13A8"/>
    <w:rsid w:val="073D143C"/>
    <w:rsid w:val="07472F26"/>
    <w:rsid w:val="074855FD"/>
    <w:rsid w:val="074A1304"/>
    <w:rsid w:val="07535F9D"/>
    <w:rsid w:val="07627CA0"/>
    <w:rsid w:val="076319C4"/>
    <w:rsid w:val="076568B7"/>
    <w:rsid w:val="07691233"/>
    <w:rsid w:val="076C2757"/>
    <w:rsid w:val="077241E3"/>
    <w:rsid w:val="078C5933"/>
    <w:rsid w:val="078D336C"/>
    <w:rsid w:val="078D6829"/>
    <w:rsid w:val="07971B3F"/>
    <w:rsid w:val="07983294"/>
    <w:rsid w:val="07A5677E"/>
    <w:rsid w:val="07B51934"/>
    <w:rsid w:val="07B9290D"/>
    <w:rsid w:val="07BB64F5"/>
    <w:rsid w:val="07BE52B9"/>
    <w:rsid w:val="07D36E39"/>
    <w:rsid w:val="07D57946"/>
    <w:rsid w:val="07ED524D"/>
    <w:rsid w:val="080124E3"/>
    <w:rsid w:val="08065D1B"/>
    <w:rsid w:val="080C7FA0"/>
    <w:rsid w:val="081E4B5F"/>
    <w:rsid w:val="08341060"/>
    <w:rsid w:val="08502DB0"/>
    <w:rsid w:val="0850455A"/>
    <w:rsid w:val="08572CF7"/>
    <w:rsid w:val="085C7468"/>
    <w:rsid w:val="08610ACC"/>
    <w:rsid w:val="086F6B40"/>
    <w:rsid w:val="08787FF0"/>
    <w:rsid w:val="0889002B"/>
    <w:rsid w:val="088E1335"/>
    <w:rsid w:val="08A44DA6"/>
    <w:rsid w:val="08A65D3D"/>
    <w:rsid w:val="08AA245A"/>
    <w:rsid w:val="08B96F5C"/>
    <w:rsid w:val="08BA6E24"/>
    <w:rsid w:val="08C447C3"/>
    <w:rsid w:val="08C562FD"/>
    <w:rsid w:val="08CA27B1"/>
    <w:rsid w:val="08CF6F01"/>
    <w:rsid w:val="08D5688C"/>
    <w:rsid w:val="08DF715E"/>
    <w:rsid w:val="08E916DF"/>
    <w:rsid w:val="08EA2FAE"/>
    <w:rsid w:val="08FC0AA5"/>
    <w:rsid w:val="090165D1"/>
    <w:rsid w:val="09066782"/>
    <w:rsid w:val="09127E2C"/>
    <w:rsid w:val="091C6B81"/>
    <w:rsid w:val="09306537"/>
    <w:rsid w:val="09355076"/>
    <w:rsid w:val="09392119"/>
    <w:rsid w:val="09445E95"/>
    <w:rsid w:val="09543B3B"/>
    <w:rsid w:val="09600FBD"/>
    <w:rsid w:val="096D5B06"/>
    <w:rsid w:val="096F346B"/>
    <w:rsid w:val="098143BC"/>
    <w:rsid w:val="099937EB"/>
    <w:rsid w:val="09B236ED"/>
    <w:rsid w:val="09B3627A"/>
    <w:rsid w:val="09BD407A"/>
    <w:rsid w:val="09CE25B1"/>
    <w:rsid w:val="09DA0E26"/>
    <w:rsid w:val="09E55691"/>
    <w:rsid w:val="09F50235"/>
    <w:rsid w:val="09F67CD5"/>
    <w:rsid w:val="09FC6C95"/>
    <w:rsid w:val="0A0835C8"/>
    <w:rsid w:val="0A117603"/>
    <w:rsid w:val="0A145721"/>
    <w:rsid w:val="0A1F5AD1"/>
    <w:rsid w:val="0A203CB2"/>
    <w:rsid w:val="0A3245CA"/>
    <w:rsid w:val="0A3708FF"/>
    <w:rsid w:val="0A376B34"/>
    <w:rsid w:val="0A3A5FEA"/>
    <w:rsid w:val="0A3B01F9"/>
    <w:rsid w:val="0A3F0488"/>
    <w:rsid w:val="0A3F2600"/>
    <w:rsid w:val="0A402A36"/>
    <w:rsid w:val="0A4E6531"/>
    <w:rsid w:val="0A646846"/>
    <w:rsid w:val="0A721B30"/>
    <w:rsid w:val="0A7871E0"/>
    <w:rsid w:val="0A927E67"/>
    <w:rsid w:val="0A9B1B16"/>
    <w:rsid w:val="0A9D2D7E"/>
    <w:rsid w:val="0A9E3D3D"/>
    <w:rsid w:val="0AA077E0"/>
    <w:rsid w:val="0AC0212C"/>
    <w:rsid w:val="0ACB2C6F"/>
    <w:rsid w:val="0ACE7EE0"/>
    <w:rsid w:val="0AD24293"/>
    <w:rsid w:val="0AD542C1"/>
    <w:rsid w:val="0AD862F0"/>
    <w:rsid w:val="0ADD5A20"/>
    <w:rsid w:val="0ADD764B"/>
    <w:rsid w:val="0AE10FD9"/>
    <w:rsid w:val="0AF13898"/>
    <w:rsid w:val="0AFB3228"/>
    <w:rsid w:val="0AFC6C07"/>
    <w:rsid w:val="0B062019"/>
    <w:rsid w:val="0B0F025C"/>
    <w:rsid w:val="0B0F0DA6"/>
    <w:rsid w:val="0B13439A"/>
    <w:rsid w:val="0B1A6333"/>
    <w:rsid w:val="0B20514C"/>
    <w:rsid w:val="0B2713F4"/>
    <w:rsid w:val="0B3D701F"/>
    <w:rsid w:val="0B3E7DD7"/>
    <w:rsid w:val="0B514A22"/>
    <w:rsid w:val="0B561995"/>
    <w:rsid w:val="0B5C2C2A"/>
    <w:rsid w:val="0B665E0A"/>
    <w:rsid w:val="0B8436DD"/>
    <w:rsid w:val="0B847B39"/>
    <w:rsid w:val="0B9E71DF"/>
    <w:rsid w:val="0BB318ED"/>
    <w:rsid w:val="0BB524B8"/>
    <w:rsid w:val="0BC22C8E"/>
    <w:rsid w:val="0BC63DB2"/>
    <w:rsid w:val="0BCC4043"/>
    <w:rsid w:val="0BCC4B6A"/>
    <w:rsid w:val="0BEB51A2"/>
    <w:rsid w:val="0BFF2578"/>
    <w:rsid w:val="0C1428F7"/>
    <w:rsid w:val="0C1D11D3"/>
    <w:rsid w:val="0C1E494F"/>
    <w:rsid w:val="0C3427D0"/>
    <w:rsid w:val="0C355A20"/>
    <w:rsid w:val="0C4303AB"/>
    <w:rsid w:val="0C43327D"/>
    <w:rsid w:val="0C441A2C"/>
    <w:rsid w:val="0C4426AF"/>
    <w:rsid w:val="0C4577EC"/>
    <w:rsid w:val="0C4F1BEB"/>
    <w:rsid w:val="0C526355"/>
    <w:rsid w:val="0C572706"/>
    <w:rsid w:val="0C5C6396"/>
    <w:rsid w:val="0C6322E0"/>
    <w:rsid w:val="0C650A20"/>
    <w:rsid w:val="0C6E11B8"/>
    <w:rsid w:val="0C723CD1"/>
    <w:rsid w:val="0C8315B1"/>
    <w:rsid w:val="0C9A0AA5"/>
    <w:rsid w:val="0CA46DE6"/>
    <w:rsid w:val="0CA5404F"/>
    <w:rsid w:val="0CA6624D"/>
    <w:rsid w:val="0CAD5BD8"/>
    <w:rsid w:val="0CB66F5F"/>
    <w:rsid w:val="0CB752EB"/>
    <w:rsid w:val="0CB94808"/>
    <w:rsid w:val="0CBD16F5"/>
    <w:rsid w:val="0CC37BC2"/>
    <w:rsid w:val="0CD87ABE"/>
    <w:rsid w:val="0CE26C42"/>
    <w:rsid w:val="0CE76B48"/>
    <w:rsid w:val="0CF62FDB"/>
    <w:rsid w:val="0CFB523A"/>
    <w:rsid w:val="0CFE37EB"/>
    <w:rsid w:val="0D013BBD"/>
    <w:rsid w:val="0D0E7551"/>
    <w:rsid w:val="0D226E9B"/>
    <w:rsid w:val="0D277AA0"/>
    <w:rsid w:val="0D3F09CA"/>
    <w:rsid w:val="0D4B44A1"/>
    <w:rsid w:val="0D5A3E80"/>
    <w:rsid w:val="0D6851E9"/>
    <w:rsid w:val="0D6E2620"/>
    <w:rsid w:val="0D704E21"/>
    <w:rsid w:val="0D7F48FE"/>
    <w:rsid w:val="0D811433"/>
    <w:rsid w:val="0D883C88"/>
    <w:rsid w:val="0D92310D"/>
    <w:rsid w:val="0D935B20"/>
    <w:rsid w:val="0D960D3E"/>
    <w:rsid w:val="0D966BF7"/>
    <w:rsid w:val="0DBC1618"/>
    <w:rsid w:val="0DC37A73"/>
    <w:rsid w:val="0DCC3AE8"/>
    <w:rsid w:val="0DD87842"/>
    <w:rsid w:val="0DF202E1"/>
    <w:rsid w:val="0DF53CE3"/>
    <w:rsid w:val="0E0961C5"/>
    <w:rsid w:val="0E131C69"/>
    <w:rsid w:val="0E147898"/>
    <w:rsid w:val="0E1F0038"/>
    <w:rsid w:val="0E273C25"/>
    <w:rsid w:val="0E2F216B"/>
    <w:rsid w:val="0E3352C6"/>
    <w:rsid w:val="0E465568"/>
    <w:rsid w:val="0E5369F5"/>
    <w:rsid w:val="0E6271DF"/>
    <w:rsid w:val="0E6B26B6"/>
    <w:rsid w:val="0E6E6955"/>
    <w:rsid w:val="0E81568A"/>
    <w:rsid w:val="0E8813E4"/>
    <w:rsid w:val="0E942250"/>
    <w:rsid w:val="0E963344"/>
    <w:rsid w:val="0E9E6E00"/>
    <w:rsid w:val="0EA40C1C"/>
    <w:rsid w:val="0EB12800"/>
    <w:rsid w:val="0EBF59C4"/>
    <w:rsid w:val="0EC1579C"/>
    <w:rsid w:val="0ECB4993"/>
    <w:rsid w:val="0ECD6CC6"/>
    <w:rsid w:val="0ED50DDE"/>
    <w:rsid w:val="0EDC0FE7"/>
    <w:rsid w:val="0EDD1744"/>
    <w:rsid w:val="0EDD5107"/>
    <w:rsid w:val="0EE525BE"/>
    <w:rsid w:val="0EEC6F1D"/>
    <w:rsid w:val="0F103291"/>
    <w:rsid w:val="0F18065D"/>
    <w:rsid w:val="0F1D498B"/>
    <w:rsid w:val="0F2365E1"/>
    <w:rsid w:val="0F337178"/>
    <w:rsid w:val="0F3A1695"/>
    <w:rsid w:val="0F41022A"/>
    <w:rsid w:val="0F4C5227"/>
    <w:rsid w:val="0F565B36"/>
    <w:rsid w:val="0F5F4247"/>
    <w:rsid w:val="0F60682C"/>
    <w:rsid w:val="0F6763D9"/>
    <w:rsid w:val="0F715B2B"/>
    <w:rsid w:val="0F764270"/>
    <w:rsid w:val="0F7E3477"/>
    <w:rsid w:val="0F7F273F"/>
    <w:rsid w:val="0F8418ED"/>
    <w:rsid w:val="0F957B47"/>
    <w:rsid w:val="0F98796C"/>
    <w:rsid w:val="0F9F6FA4"/>
    <w:rsid w:val="0FA65D5C"/>
    <w:rsid w:val="0FAD1E6E"/>
    <w:rsid w:val="0FAD33DA"/>
    <w:rsid w:val="0FBE2A42"/>
    <w:rsid w:val="0FC17CCE"/>
    <w:rsid w:val="0FC424B9"/>
    <w:rsid w:val="0FD21C9C"/>
    <w:rsid w:val="0FD70565"/>
    <w:rsid w:val="0FD75A7D"/>
    <w:rsid w:val="0FEC680C"/>
    <w:rsid w:val="0FFC347A"/>
    <w:rsid w:val="0FFD5040"/>
    <w:rsid w:val="10007AD6"/>
    <w:rsid w:val="10014CF7"/>
    <w:rsid w:val="100E19D0"/>
    <w:rsid w:val="101C4A03"/>
    <w:rsid w:val="101D0C86"/>
    <w:rsid w:val="10240BF3"/>
    <w:rsid w:val="104A023B"/>
    <w:rsid w:val="10505F3B"/>
    <w:rsid w:val="105523FF"/>
    <w:rsid w:val="106663C9"/>
    <w:rsid w:val="106D2686"/>
    <w:rsid w:val="106F0E5F"/>
    <w:rsid w:val="107C3E2C"/>
    <w:rsid w:val="107D41AE"/>
    <w:rsid w:val="108C2479"/>
    <w:rsid w:val="109A6911"/>
    <w:rsid w:val="10A81377"/>
    <w:rsid w:val="10B80E65"/>
    <w:rsid w:val="10C02B10"/>
    <w:rsid w:val="10C715C5"/>
    <w:rsid w:val="10D335EF"/>
    <w:rsid w:val="10E746EA"/>
    <w:rsid w:val="10E83FE0"/>
    <w:rsid w:val="10EC3168"/>
    <w:rsid w:val="10F52718"/>
    <w:rsid w:val="11161B98"/>
    <w:rsid w:val="1116627D"/>
    <w:rsid w:val="112F02E7"/>
    <w:rsid w:val="11352B49"/>
    <w:rsid w:val="113C466D"/>
    <w:rsid w:val="114028DC"/>
    <w:rsid w:val="116F1EB0"/>
    <w:rsid w:val="11765ED8"/>
    <w:rsid w:val="117B1D6A"/>
    <w:rsid w:val="117C2D9D"/>
    <w:rsid w:val="117F159E"/>
    <w:rsid w:val="11821DC9"/>
    <w:rsid w:val="118273C5"/>
    <w:rsid w:val="11854F5E"/>
    <w:rsid w:val="11921373"/>
    <w:rsid w:val="119C45DF"/>
    <w:rsid w:val="119D7849"/>
    <w:rsid w:val="11A61449"/>
    <w:rsid w:val="11BB6ADC"/>
    <w:rsid w:val="11C67B8F"/>
    <w:rsid w:val="11D6498E"/>
    <w:rsid w:val="11E57D4F"/>
    <w:rsid w:val="11F92DAB"/>
    <w:rsid w:val="11FC38D5"/>
    <w:rsid w:val="12035CB0"/>
    <w:rsid w:val="120F62A8"/>
    <w:rsid w:val="1210682D"/>
    <w:rsid w:val="121563D9"/>
    <w:rsid w:val="1219391F"/>
    <w:rsid w:val="12240253"/>
    <w:rsid w:val="122449D0"/>
    <w:rsid w:val="12266391"/>
    <w:rsid w:val="122C5C28"/>
    <w:rsid w:val="123800F8"/>
    <w:rsid w:val="123A05DB"/>
    <w:rsid w:val="123F687E"/>
    <w:rsid w:val="124240B9"/>
    <w:rsid w:val="125A117D"/>
    <w:rsid w:val="12680E73"/>
    <w:rsid w:val="12703D53"/>
    <w:rsid w:val="127701EE"/>
    <w:rsid w:val="127E5AA6"/>
    <w:rsid w:val="128071C7"/>
    <w:rsid w:val="12817DA8"/>
    <w:rsid w:val="12853E7C"/>
    <w:rsid w:val="12893E38"/>
    <w:rsid w:val="128B2749"/>
    <w:rsid w:val="12906DAC"/>
    <w:rsid w:val="12976F0D"/>
    <w:rsid w:val="129811DB"/>
    <w:rsid w:val="12AB7A32"/>
    <w:rsid w:val="12BB6535"/>
    <w:rsid w:val="12C54464"/>
    <w:rsid w:val="12C7312B"/>
    <w:rsid w:val="12D048FD"/>
    <w:rsid w:val="12D14417"/>
    <w:rsid w:val="12D22971"/>
    <w:rsid w:val="12D85654"/>
    <w:rsid w:val="12E06191"/>
    <w:rsid w:val="12EE5106"/>
    <w:rsid w:val="12FE7BB6"/>
    <w:rsid w:val="13024DF8"/>
    <w:rsid w:val="1307341C"/>
    <w:rsid w:val="130E3629"/>
    <w:rsid w:val="13136909"/>
    <w:rsid w:val="131B39DD"/>
    <w:rsid w:val="13246C2D"/>
    <w:rsid w:val="13283BA4"/>
    <w:rsid w:val="13332F77"/>
    <w:rsid w:val="13334E1C"/>
    <w:rsid w:val="13346EE4"/>
    <w:rsid w:val="13384952"/>
    <w:rsid w:val="133C549C"/>
    <w:rsid w:val="134C6B75"/>
    <w:rsid w:val="1355107F"/>
    <w:rsid w:val="135D4D2E"/>
    <w:rsid w:val="1361635E"/>
    <w:rsid w:val="1366638D"/>
    <w:rsid w:val="136B6B82"/>
    <w:rsid w:val="136D76E8"/>
    <w:rsid w:val="137266E0"/>
    <w:rsid w:val="13836796"/>
    <w:rsid w:val="138A301D"/>
    <w:rsid w:val="13995836"/>
    <w:rsid w:val="13AA5FA1"/>
    <w:rsid w:val="13C20262"/>
    <w:rsid w:val="13D011ED"/>
    <w:rsid w:val="13D024B3"/>
    <w:rsid w:val="13D115EF"/>
    <w:rsid w:val="13D86A45"/>
    <w:rsid w:val="13D92D9C"/>
    <w:rsid w:val="13DD445E"/>
    <w:rsid w:val="13FD073F"/>
    <w:rsid w:val="140171D9"/>
    <w:rsid w:val="1405674E"/>
    <w:rsid w:val="14056C62"/>
    <w:rsid w:val="140815BB"/>
    <w:rsid w:val="14087FC1"/>
    <w:rsid w:val="14095006"/>
    <w:rsid w:val="141E583B"/>
    <w:rsid w:val="1424615D"/>
    <w:rsid w:val="142C143A"/>
    <w:rsid w:val="144039D1"/>
    <w:rsid w:val="144E4536"/>
    <w:rsid w:val="1459355A"/>
    <w:rsid w:val="145F07C7"/>
    <w:rsid w:val="14691748"/>
    <w:rsid w:val="146C5189"/>
    <w:rsid w:val="147F7C89"/>
    <w:rsid w:val="148052F5"/>
    <w:rsid w:val="14816B50"/>
    <w:rsid w:val="148313F4"/>
    <w:rsid w:val="14934F1A"/>
    <w:rsid w:val="149559C4"/>
    <w:rsid w:val="14A759A3"/>
    <w:rsid w:val="14AC0C32"/>
    <w:rsid w:val="14C45576"/>
    <w:rsid w:val="14C76D6C"/>
    <w:rsid w:val="14DA3DA1"/>
    <w:rsid w:val="14E60B42"/>
    <w:rsid w:val="14EA1C4D"/>
    <w:rsid w:val="14F447EE"/>
    <w:rsid w:val="1515004B"/>
    <w:rsid w:val="15166027"/>
    <w:rsid w:val="15207BBA"/>
    <w:rsid w:val="152F4E1B"/>
    <w:rsid w:val="154767F6"/>
    <w:rsid w:val="154D342A"/>
    <w:rsid w:val="1559587F"/>
    <w:rsid w:val="156B4DCD"/>
    <w:rsid w:val="1574662E"/>
    <w:rsid w:val="15751882"/>
    <w:rsid w:val="1575191B"/>
    <w:rsid w:val="157818C6"/>
    <w:rsid w:val="159C0D14"/>
    <w:rsid w:val="159F73BB"/>
    <w:rsid w:val="15B03F28"/>
    <w:rsid w:val="15BD1EAC"/>
    <w:rsid w:val="15C91399"/>
    <w:rsid w:val="15CE57D6"/>
    <w:rsid w:val="15D92CB3"/>
    <w:rsid w:val="15DE29CF"/>
    <w:rsid w:val="15E30A80"/>
    <w:rsid w:val="15EF3E10"/>
    <w:rsid w:val="15F77CD3"/>
    <w:rsid w:val="16053765"/>
    <w:rsid w:val="1608480E"/>
    <w:rsid w:val="161C1C58"/>
    <w:rsid w:val="162C4E62"/>
    <w:rsid w:val="162F7556"/>
    <w:rsid w:val="16382242"/>
    <w:rsid w:val="16413A3A"/>
    <w:rsid w:val="1644500C"/>
    <w:rsid w:val="16461A95"/>
    <w:rsid w:val="16594F06"/>
    <w:rsid w:val="165D4607"/>
    <w:rsid w:val="1663404B"/>
    <w:rsid w:val="166E6F39"/>
    <w:rsid w:val="166F5E80"/>
    <w:rsid w:val="16766A92"/>
    <w:rsid w:val="167A52A9"/>
    <w:rsid w:val="16866882"/>
    <w:rsid w:val="168805E9"/>
    <w:rsid w:val="168C392F"/>
    <w:rsid w:val="168F69F2"/>
    <w:rsid w:val="16916CB7"/>
    <w:rsid w:val="169C7FDE"/>
    <w:rsid w:val="16A4319F"/>
    <w:rsid w:val="16AC4DDB"/>
    <w:rsid w:val="16AE2FE3"/>
    <w:rsid w:val="16B4400E"/>
    <w:rsid w:val="16BA58CD"/>
    <w:rsid w:val="16BB694C"/>
    <w:rsid w:val="16C739DF"/>
    <w:rsid w:val="16D614D6"/>
    <w:rsid w:val="16DD3B26"/>
    <w:rsid w:val="16EB6E00"/>
    <w:rsid w:val="16F9473B"/>
    <w:rsid w:val="16FD2447"/>
    <w:rsid w:val="1707609C"/>
    <w:rsid w:val="1712339A"/>
    <w:rsid w:val="171B5478"/>
    <w:rsid w:val="171E63FC"/>
    <w:rsid w:val="1722504D"/>
    <w:rsid w:val="17276DF4"/>
    <w:rsid w:val="1738730F"/>
    <w:rsid w:val="173B2DD6"/>
    <w:rsid w:val="17416499"/>
    <w:rsid w:val="17481B81"/>
    <w:rsid w:val="174E2891"/>
    <w:rsid w:val="175007ED"/>
    <w:rsid w:val="17536547"/>
    <w:rsid w:val="17592D5E"/>
    <w:rsid w:val="175A036D"/>
    <w:rsid w:val="176B45C6"/>
    <w:rsid w:val="176C24BA"/>
    <w:rsid w:val="176C447F"/>
    <w:rsid w:val="17761009"/>
    <w:rsid w:val="17875303"/>
    <w:rsid w:val="1793626E"/>
    <w:rsid w:val="17A875F5"/>
    <w:rsid w:val="17B92501"/>
    <w:rsid w:val="17E253FA"/>
    <w:rsid w:val="17E66DD8"/>
    <w:rsid w:val="17E677E9"/>
    <w:rsid w:val="17E84839"/>
    <w:rsid w:val="17EE1403"/>
    <w:rsid w:val="17F25234"/>
    <w:rsid w:val="17FD061B"/>
    <w:rsid w:val="17FF6314"/>
    <w:rsid w:val="18005F41"/>
    <w:rsid w:val="18025414"/>
    <w:rsid w:val="18171305"/>
    <w:rsid w:val="18334194"/>
    <w:rsid w:val="183756D3"/>
    <w:rsid w:val="183E1D37"/>
    <w:rsid w:val="184D0787"/>
    <w:rsid w:val="18541F34"/>
    <w:rsid w:val="185A0382"/>
    <w:rsid w:val="185D1883"/>
    <w:rsid w:val="18615557"/>
    <w:rsid w:val="18633210"/>
    <w:rsid w:val="18702224"/>
    <w:rsid w:val="18812331"/>
    <w:rsid w:val="18816F1C"/>
    <w:rsid w:val="18853F3E"/>
    <w:rsid w:val="18956393"/>
    <w:rsid w:val="18990744"/>
    <w:rsid w:val="18A8582C"/>
    <w:rsid w:val="18B50543"/>
    <w:rsid w:val="18CD7A02"/>
    <w:rsid w:val="18D4694D"/>
    <w:rsid w:val="18DC65B5"/>
    <w:rsid w:val="18F621ED"/>
    <w:rsid w:val="19001FFC"/>
    <w:rsid w:val="19044F98"/>
    <w:rsid w:val="190E2B4A"/>
    <w:rsid w:val="19106677"/>
    <w:rsid w:val="19256D7A"/>
    <w:rsid w:val="19283A3D"/>
    <w:rsid w:val="193275C2"/>
    <w:rsid w:val="19394FD2"/>
    <w:rsid w:val="193E37E1"/>
    <w:rsid w:val="195B59A7"/>
    <w:rsid w:val="195F3A6C"/>
    <w:rsid w:val="19663168"/>
    <w:rsid w:val="19767855"/>
    <w:rsid w:val="19786B0A"/>
    <w:rsid w:val="199A2059"/>
    <w:rsid w:val="19B46E10"/>
    <w:rsid w:val="19C31ED3"/>
    <w:rsid w:val="19C456C1"/>
    <w:rsid w:val="19C64218"/>
    <w:rsid w:val="19E5590B"/>
    <w:rsid w:val="19F061A1"/>
    <w:rsid w:val="1A020598"/>
    <w:rsid w:val="1A0208F8"/>
    <w:rsid w:val="1A054259"/>
    <w:rsid w:val="1A081816"/>
    <w:rsid w:val="1A13149D"/>
    <w:rsid w:val="1A165171"/>
    <w:rsid w:val="1A1F47EB"/>
    <w:rsid w:val="1A2729ED"/>
    <w:rsid w:val="1A286A54"/>
    <w:rsid w:val="1A304E0A"/>
    <w:rsid w:val="1A4858FF"/>
    <w:rsid w:val="1A4C698A"/>
    <w:rsid w:val="1A4F0751"/>
    <w:rsid w:val="1A5E4B5A"/>
    <w:rsid w:val="1A672B1C"/>
    <w:rsid w:val="1A7A3787"/>
    <w:rsid w:val="1A8301C0"/>
    <w:rsid w:val="1A872248"/>
    <w:rsid w:val="1A944052"/>
    <w:rsid w:val="1A9B2279"/>
    <w:rsid w:val="1A9B7FF4"/>
    <w:rsid w:val="1A9E2B36"/>
    <w:rsid w:val="1A9E6232"/>
    <w:rsid w:val="1AA74D3D"/>
    <w:rsid w:val="1AAC1E50"/>
    <w:rsid w:val="1AB34DB4"/>
    <w:rsid w:val="1AB613FD"/>
    <w:rsid w:val="1ABB0DE6"/>
    <w:rsid w:val="1ACF5EB8"/>
    <w:rsid w:val="1AD26086"/>
    <w:rsid w:val="1AD94C79"/>
    <w:rsid w:val="1AE013F8"/>
    <w:rsid w:val="1AE8570C"/>
    <w:rsid w:val="1AEE033B"/>
    <w:rsid w:val="1AF45AC8"/>
    <w:rsid w:val="1AFB06A3"/>
    <w:rsid w:val="1B0F19AE"/>
    <w:rsid w:val="1B0F40F3"/>
    <w:rsid w:val="1B2160BB"/>
    <w:rsid w:val="1B2B04BB"/>
    <w:rsid w:val="1B3637AD"/>
    <w:rsid w:val="1B3E0DB5"/>
    <w:rsid w:val="1B420427"/>
    <w:rsid w:val="1B454C94"/>
    <w:rsid w:val="1B5258E6"/>
    <w:rsid w:val="1B6415FF"/>
    <w:rsid w:val="1B6C0DF0"/>
    <w:rsid w:val="1B76379D"/>
    <w:rsid w:val="1B7F6005"/>
    <w:rsid w:val="1B8025E9"/>
    <w:rsid w:val="1B8F7EC5"/>
    <w:rsid w:val="1B9C269A"/>
    <w:rsid w:val="1B9E64C5"/>
    <w:rsid w:val="1BB42683"/>
    <w:rsid w:val="1BBE493C"/>
    <w:rsid w:val="1BC01115"/>
    <w:rsid w:val="1BC36606"/>
    <w:rsid w:val="1BC44015"/>
    <w:rsid w:val="1BCA6284"/>
    <w:rsid w:val="1BFB4C41"/>
    <w:rsid w:val="1C013494"/>
    <w:rsid w:val="1C053414"/>
    <w:rsid w:val="1C056243"/>
    <w:rsid w:val="1C0A780E"/>
    <w:rsid w:val="1C0C6675"/>
    <w:rsid w:val="1C132CB9"/>
    <w:rsid w:val="1C164ECA"/>
    <w:rsid w:val="1C273D33"/>
    <w:rsid w:val="1C4032AB"/>
    <w:rsid w:val="1C4672ED"/>
    <w:rsid w:val="1C467AB6"/>
    <w:rsid w:val="1C5207A8"/>
    <w:rsid w:val="1C527C03"/>
    <w:rsid w:val="1C6277A9"/>
    <w:rsid w:val="1C724E93"/>
    <w:rsid w:val="1C7E1D4C"/>
    <w:rsid w:val="1C7F54CE"/>
    <w:rsid w:val="1C7F743F"/>
    <w:rsid w:val="1C867130"/>
    <w:rsid w:val="1C8A35E0"/>
    <w:rsid w:val="1C8C4AA9"/>
    <w:rsid w:val="1C8C604B"/>
    <w:rsid w:val="1C92160B"/>
    <w:rsid w:val="1C973EEF"/>
    <w:rsid w:val="1CA03243"/>
    <w:rsid w:val="1CAF5DB2"/>
    <w:rsid w:val="1CB26D23"/>
    <w:rsid w:val="1CB61741"/>
    <w:rsid w:val="1CCC26CA"/>
    <w:rsid w:val="1CD2156B"/>
    <w:rsid w:val="1CD41743"/>
    <w:rsid w:val="1CD44D3D"/>
    <w:rsid w:val="1CD53D0D"/>
    <w:rsid w:val="1CD91C65"/>
    <w:rsid w:val="1CE615C9"/>
    <w:rsid w:val="1CF34BDB"/>
    <w:rsid w:val="1D037029"/>
    <w:rsid w:val="1D2E5AAE"/>
    <w:rsid w:val="1D3305FF"/>
    <w:rsid w:val="1D336D5F"/>
    <w:rsid w:val="1D395282"/>
    <w:rsid w:val="1D413348"/>
    <w:rsid w:val="1D5F5386"/>
    <w:rsid w:val="1D7072CE"/>
    <w:rsid w:val="1D8131AA"/>
    <w:rsid w:val="1D897F04"/>
    <w:rsid w:val="1D92018E"/>
    <w:rsid w:val="1D9E30A9"/>
    <w:rsid w:val="1DA640BA"/>
    <w:rsid w:val="1DAA059B"/>
    <w:rsid w:val="1DAB1006"/>
    <w:rsid w:val="1DB33C11"/>
    <w:rsid w:val="1DC65562"/>
    <w:rsid w:val="1DD32F44"/>
    <w:rsid w:val="1DD630A5"/>
    <w:rsid w:val="1DE94164"/>
    <w:rsid w:val="1DE94821"/>
    <w:rsid w:val="1DEA459C"/>
    <w:rsid w:val="1DEE1B11"/>
    <w:rsid w:val="1E164B52"/>
    <w:rsid w:val="1E1D1774"/>
    <w:rsid w:val="1E273844"/>
    <w:rsid w:val="1E2F243E"/>
    <w:rsid w:val="1E3A3326"/>
    <w:rsid w:val="1E455D19"/>
    <w:rsid w:val="1E567043"/>
    <w:rsid w:val="1E595CAF"/>
    <w:rsid w:val="1E6607F9"/>
    <w:rsid w:val="1E805396"/>
    <w:rsid w:val="1E884F62"/>
    <w:rsid w:val="1E9D6342"/>
    <w:rsid w:val="1E9D6D15"/>
    <w:rsid w:val="1EA77730"/>
    <w:rsid w:val="1EC36E9D"/>
    <w:rsid w:val="1EC533A2"/>
    <w:rsid w:val="1ED015A4"/>
    <w:rsid w:val="1EE2283A"/>
    <w:rsid w:val="1EE25FDD"/>
    <w:rsid w:val="1EE86322"/>
    <w:rsid w:val="1EF5103F"/>
    <w:rsid w:val="1F0274EC"/>
    <w:rsid w:val="1F090F9B"/>
    <w:rsid w:val="1F0E5D6B"/>
    <w:rsid w:val="1F4E511E"/>
    <w:rsid w:val="1F4F2219"/>
    <w:rsid w:val="1F721405"/>
    <w:rsid w:val="1F842044"/>
    <w:rsid w:val="1F887E80"/>
    <w:rsid w:val="1F935819"/>
    <w:rsid w:val="1FA6556D"/>
    <w:rsid w:val="1FA92D3B"/>
    <w:rsid w:val="1FAF2571"/>
    <w:rsid w:val="1FC55EDA"/>
    <w:rsid w:val="1FCE593C"/>
    <w:rsid w:val="1FE312AC"/>
    <w:rsid w:val="1FEC5915"/>
    <w:rsid w:val="1FED32EF"/>
    <w:rsid w:val="20215745"/>
    <w:rsid w:val="20350C87"/>
    <w:rsid w:val="203A2A30"/>
    <w:rsid w:val="20446081"/>
    <w:rsid w:val="204852AD"/>
    <w:rsid w:val="204E6676"/>
    <w:rsid w:val="205A5AA0"/>
    <w:rsid w:val="20730D4E"/>
    <w:rsid w:val="20773A28"/>
    <w:rsid w:val="20796DDF"/>
    <w:rsid w:val="208244E5"/>
    <w:rsid w:val="208574F4"/>
    <w:rsid w:val="208E0979"/>
    <w:rsid w:val="208F6BAF"/>
    <w:rsid w:val="209C24BD"/>
    <w:rsid w:val="20A462BA"/>
    <w:rsid w:val="20A976E7"/>
    <w:rsid w:val="20AC7E9E"/>
    <w:rsid w:val="20BB50D0"/>
    <w:rsid w:val="20BF2AAC"/>
    <w:rsid w:val="20C849C7"/>
    <w:rsid w:val="20D07F44"/>
    <w:rsid w:val="20DF66D2"/>
    <w:rsid w:val="20EC3F2E"/>
    <w:rsid w:val="20EC7C3E"/>
    <w:rsid w:val="20F900A6"/>
    <w:rsid w:val="210548E9"/>
    <w:rsid w:val="2107210D"/>
    <w:rsid w:val="21124D15"/>
    <w:rsid w:val="213E7119"/>
    <w:rsid w:val="21505366"/>
    <w:rsid w:val="21756B2C"/>
    <w:rsid w:val="21810744"/>
    <w:rsid w:val="218D6EF5"/>
    <w:rsid w:val="2195668B"/>
    <w:rsid w:val="21995167"/>
    <w:rsid w:val="21A130EA"/>
    <w:rsid w:val="21A5163A"/>
    <w:rsid w:val="21A64442"/>
    <w:rsid w:val="21AC4ECC"/>
    <w:rsid w:val="21B222BC"/>
    <w:rsid w:val="21BD09D7"/>
    <w:rsid w:val="21C267BF"/>
    <w:rsid w:val="21C43372"/>
    <w:rsid w:val="21CD6BCD"/>
    <w:rsid w:val="21CE6067"/>
    <w:rsid w:val="21CF439A"/>
    <w:rsid w:val="21F00127"/>
    <w:rsid w:val="21F43497"/>
    <w:rsid w:val="22045B97"/>
    <w:rsid w:val="2219238D"/>
    <w:rsid w:val="221D2FA3"/>
    <w:rsid w:val="22247705"/>
    <w:rsid w:val="2226635F"/>
    <w:rsid w:val="222D4F0B"/>
    <w:rsid w:val="22384AB0"/>
    <w:rsid w:val="223D7545"/>
    <w:rsid w:val="22411D14"/>
    <w:rsid w:val="22423BE1"/>
    <w:rsid w:val="22454449"/>
    <w:rsid w:val="22500810"/>
    <w:rsid w:val="226347BD"/>
    <w:rsid w:val="22682935"/>
    <w:rsid w:val="226F564C"/>
    <w:rsid w:val="22714CE9"/>
    <w:rsid w:val="22730512"/>
    <w:rsid w:val="227C7BE1"/>
    <w:rsid w:val="228A4698"/>
    <w:rsid w:val="228D7F55"/>
    <w:rsid w:val="22945167"/>
    <w:rsid w:val="229B1A41"/>
    <w:rsid w:val="22A55CD5"/>
    <w:rsid w:val="22AC2795"/>
    <w:rsid w:val="22AC3B8B"/>
    <w:rsid w:val="22B13EF7"/>
    <w:rsid w:val="22BB36DF"/>
    <w:rsid w:val="22BC2B0B"/>
    <w:rsid w:val="22C74EE2"/>
    <w:rsid w:val="22C80038"/>
    <w:rsid w:val="22CB6237"/>
    <w:rsid w:val="22CD14B5"/>
    <w:rsid w:val="22D928CE"/>
    <w:rsid w:val="22E02C6E"/>
    <w:rsid w:val="22E04FF4"/>
    <w:rsid w:val="22E1121B"/>
    <w:rsid w:val="22E22D4A"/>
    <w:rsid w:val="22E75D67"/>
    <w:rsid w:val="22EA4C70"/>
    <w:rsid w:val="22F03933"/>
    <w:rsid w:val="22F342CA"/>
    <w:rsid w:val="22F75251"/>
    <w:rsid w:val="22F84EEE"/>
    <w:rsid w:val="22F86F75"/>
    <w:rsid w:val="22FA25EF"/>
    <w:rsid w:val="230E3A21"/>
    <w:rsid w:val="23131055"/>
    <w:rsid w:val="2316334C"/>
    <w:rsid w:val="233C6F76"/>
    <w:rsid w:val="2341526C"/>
    <w:rsid w:val="234449F5"/>
    <w:rsid w:val="234A29B4"/>
    <w:rsid w:val="23536618"/>
    <w:rsid w:val="236F7CD9"/>
    <w:rsid w:val="237D3B26"/>
    <w:rsid w:val="23816932"/>
    <w:rsid w:val="23A22D26"/>
    <w:rsid w:val="23A9484E"/>
    <w:rsid w:val="23B32F98"/>
    <w:rsid w:val="23B84268"/>
    <w:rsid w:val="23C04937"/>
    <w:rsid w:val="23D03C50"/>
    <w:rsid w:val="23D17D7B"/>
    <w:rsid w:val="23D36D91"/>
    <w:rsid w:val="23EA25D3"/>
    <w:rsid w:val="23F70BA5"/>
    <w:rsid w:val="23F93D0D"/>
    <w:rsid w:val="2405417E"/>
    <w:rsid w:val="240905AE"/>
    <w:rsid w:val="241B5C62"/>
    <w:rsid w:val="242005F6"/>
    <w:rsid w:val="243C78CE"/>
    <w:rsid w:val="244D419B"/>
    <w:rsid w:val="245872F9"/>
    <w:rsid w:val="245943D9"/>
    <w:rsid w:val="245B217B"/>
    <w:rsid w:val="245D2237"/>
    <w:rsid w:val="245E6B64"/>
    <w:rsid w:val="245F176F"/>
    <w:rsid w:val="2463385E"/>
    <w:rsid w:val="2466191B"/>
    <w:rsid w:val="247F0848"/>
    <w:rsid w:val="248A1E01"/>
    <w:rsid w:val="24967323"/>
    <w:rsid w:val="249D5FC8"/>
    <w:rsid w:val="24A1538E"/>
    <w:rsid w:val="24B9450F"/>
    <w:rsid w:val="24C83F94"/>
    <w:rsid w:val="24D706EC"/>
    <w:rsid w:val="24E44130"/>
    <w:rsid w:val="24EE3D24"/>
    <w:rsid w:val="24F301AC"/>
    <w:rsid w:val="24F60CDA"/>
    <w:rsid w:val="24FE1078"/>
    <w:rsid w:val="250B4793"/>
    <w:rsid w:val="250D450C"/>
    <w:rsid w:val="25134332"/>
    <w:rsid w:val="25141A5B"/>
    <w:rsid w:val="2521546A"/>
    <w:rsid w:val="25225B0E"/>
    <w:rsid w:val="252B49E0"/>
    <w:rsid w:val="253B247A"/>
    <w:rsid w:val="25544D4D"/>
    <w:rsid w:val="25734B61"/>
    <w:rsid w:val="257C0E73"/>
    <w:rsid w:val="257C1EB5"/>
    <w:rsid w:val="257F0513"/>
    <w:rsid w:val="258843F6"/>
    <w:rsid w:val="258F6BC4"/>
    <w:rsid w:val="25975923"/>
    <w:rsid w:val="259A3D0A"/>
    <w:rsid w:val="25A72265"/>
    <w:rsid w:val="25A95F3E"/>
    <w:rsid w:val="25BF6041"/>
    <w:rsid w:val="25C11AFE"/>
    <w:rsid w:val="25C35718"/>
    <w:rsid w:val="25C61809"/>
    <w:rsid w:val="25CF0252"/>
    <w:rsid w:val="25D0248E"/>
    <w:rsid w:val="25D52D1D"/>
    <w:rsid w:val="25E17E34"/>
    <w:rsid w:val="25F81D70"/>
    <w:rsid w:val="25FB5636"/>
    <w:rsid w:val="25FE58A9"/>
    <w:rsid w:val="26070462"/>
    <w:rsid w:val="260D2C45"/>
    <w:rsid w:val="26197DFF"/>
    <w:rsid w:val="262F0AD0"/>
    <w:rsid w:val="26395C92"/>
    <w:rsid w:val="26484954"/>
    <w:rsid w:val="265A4A1D"/>
    <w:rsid w:val="266237C3"/>
    <w:rsid w:val="266E0D1D"/>
    <w:rsid w:val="267550B9"/>
    <w:rsid w:val="267A4B30"/>
    <w:rsid w:val="26C472EC"/>
    <w:rsid w:val="26D97CAE"/>
    <w:rsid w:val="26E264E6"/>
    <w:rsid w:val="26EC491A"/>
    <w:rsid w:val="26ED73E1"/>
    <w:rsid w:val="27047832"/>
    <w:rsid w:val="270D43CE"/>
    <w:rsid w:val="271435B7"/>
    <w:rsid w:val="27204B5D"/>
    <w:rsid w:val="272F31A0"/>
    <w:rsid w:val="27342901"/>
    <w:rsid w:val="27383740"/>
    <w:rsid w:val="273D2762"/>
    <w:rsid w:val="274453B9"/>
    <w:rsid w:val="27446B8B"/>
    <w:rsid w:val="27470B72"/>
    <w:rsid w:val="27525E32"/>
    <w:rsid w:val="275639D6"/>
    <w:rsid w:val="27722E60"/>
    <w:rsid w:val="2775024B"/>
    <w:rsid w:val="27765A05"/>
    <w:rsid w:val="2778582E"/>
    <w:rsid w:val="27806765"/>
    <w:rsid w:val="278435A8"/>
    <w:rsid w:val="27851763"/>
    <w:rsid w:val="279B1E53"/>
    <w:rsid w:val="27A14309"/>
    <w:rsid w:val="27AB7429"/>
    <w:rsid w:val="27C57B2B"/>
    <w:rsid w:val="27C8029E"/>
    <w:rsid w:val="27CC78AC"/>
    <w:rsid w:val="27CE1EA1"/>
    <w:rsid w:val="27CF6D63"/>
    <w:rsid w:val="27D5047E"/>
    <w:rsid w:val="27DD45ED"/>
    <w:rsid w:val="27E27828"/>
    <w:rsid w:val="27E3651B"/>
    <w:rsid w:val="27EC25E3"/>
    <w:rsid w:val="27ED0939"/>
    <w:rsid w:val="27F1498B"/>
    <w:rsid w:val="28027A71"/>
    <w:rsid w:val="281F4F67"/>
    <w:rsid w:val="28214BB3"/>
    <w:rsid w:val="282432CE"/>
    <w:rsid w:val="283744B4"/>
    <w:rsid w:val="28485D62"/>
    <w:rsid w:val="285560D7"/>
    <w:rsid w:val="285B1045"/>
    <w:rsid w:val="28760CA0"/>
    <w:rsid w:val="288A05DD"/>
    <w:rsid w:val="289309BD"/>
    <w:rsid w:val="28937D89"/>
    <w:rsid w:val="28B067E4"/>
    <w:rsid w:val="28B86C1E"/>
    <w:rsid w:val="28C96C14"/>
    <w:rsid w:val="28CF1781"/>
    <w:rsid w:val="28E138E3"/>
    <w:rsid w:val="28E25FF0"/>
    <w:rsid w:val="28E74216"/>
    <w:rsid w:val="28E87EE4"/>
    <w:rsid w:val="28F42613"/>
    <w:rsid w:val="28F57442"/>
    <w:rsid w:val="2903396A"/>
    <w:rsid w:val="290D008D"/>
    <w:rsid w:val="291F2805"/>
    <w:rsid w:val="29212936"/>
    <w:rsid w:val="294E766A"/>
    <w:rsid w:val="294F506D"/>
    <w:rsid w:val="295F09EE"/>
    <w:rsid w:val="296B1E22"/>
    <w:rsid w:val="296F19DF"/>
    <w:rsid w:val="2978319A"/>
    <w:rsid w:val="297A3E18"/>
    <w:rsid w:val="29A3014B"/>
    <w:rsid w:val="29A74CBD"/>
    <w:rsid w:val="29B01C34"/>
    <w:rsid w:val="29B02636"/>
    <w:rsid w:val="29B16357"/>
    <w:rsid w:val="29BA0D88"/>
    <w:rsid w:val="29CF32B2"/>
    <w:rsid w:val="29D24FAA"/>
    <w:rsid w:val="29DE0CFC"/>
    <w:rsid w:val="29DE15A2"/>
    <w:rsid w:val="29E37FC4"/>
    <w:rsid w:val="29EF3680"/>
    <w:rsid w:val="29EF424E"/>
    <w:rsid w:val="29F13D11"/>
    <w:rsid w:val="29F93F5E"/>
    <w:rsid w:val="29FA7F26"/>
    <w:rsid w:val="29FD07C3"/>
    <w:rsid w:val="2A0066C4"/>
    <w:rsid w:val="2A23469B"/>
    <w:rsid w:val="2A2D4F40"/>
    <w:rsid w:val="2A35650F"/>
    <w:rsid w:val="2A405845"/>
    <w:rsid w:val="2A4D593F"/>
    <w:rsid w:val="2A5645FE"/>
    <w:rsid w:val="2A63608A"/>
    <w:rsid w:val="2A673E21"/>
    <w:rsid w:val="2A6920F5"/>
    <w:rsid w:val="2A6E31F8"/>
    <w:rsid w:val="2A71789D"/>
    <w:rsid w:val="2A7C4380"/>
    <w:rsid w:val="2A8A2F9C"/>
    <w:rsid w:val="2A9A0A02"/>
    <w:rsid w:val="2AA077A9"/>
    <w:rsid w:val="2AA95326"/>
    <w:rsid w:val="2AAB580F"/>
    <w:rsid w:val="2AAC5A06"/>
    <w:rsid w:val="2AB16068"/>
    <w:rsid w:val="2ABB3D6F"/>
    <w:rsid w:val="2AC70B30"/>
    <w:rsid w:val="2ACC2AAF"/>
    <w:rsid w:val="2AD74744"/>
    <w:rsid w:val="2AD91AC2"/>
    <w:rsid w:val="2AE546EF"/>
    <w:rsid w:val="2AE57C95"/>
    <w:rsid w:val="2AE90B77"/>
    <w:rsid w:val="2AF35C8B"/>
    <w:rsid w:val="2B0279D1"/>
    <w:rsid w:val="2B132265"/>
    <w:rsid w:val="2B1D1F04"/>
    <w:rsid w:val="2B214776"/>
    <w:rsid w:val="2B2843BE"/>
    <w:rsid w:val="2B313FC1"/>
    <w:rsid w:val="2B347C14"/>
    <w:rsid w:val="2B39348E"/>
    <w:rsid w:val="2B437285"/>
    <w:rsid w:val="2B4D695C"/>
    <w:rsid w:val="2B514803"/>
    <w:rsid w:val="2B5D3585"/>
    <w:rsid w:val="2B637D4B"/>
    <w:rsid w:val="2B6B1684"/>
    <w:rsid w:val="2B7B70BF"/>
    <w:rsid w:val="2B8B422C"/>
    <w:rsid w:val="2B953F09"/>
    <w:rsid w:val="2BA07D38"/>
    <w:rsid w:val="2BA534A8"/>
    <w:rsid w:val="2BB960F0"/>
    <w:rsid w:val="2BC40957"/>
    <w:rsid w:val="2BCB5DAA"/>
    <w:rsid w:val="2BF235A7"/>
    <w:rsid w:val="2BF369B9"/>
    <w:rsid w:val="2BFC0A4A"/>
    <w:rsid w:val="2C094904"/>
    <w:rsid w:val="2C0E55A1"/>
    <w:rsid w:val="2C124987"/>
    <w:rsid w:val="2C2C732D"/>
    <w:rsid w:val="2C3658B0"/>
    <w:rsid w:val="2C3A7BF6"/>
    <w:rsid w:val="2C42277B"/>
    <w:rsid w:val="2C425BCE"/>
    <w:rsid w:val="2C44676A"/>
    <w:rsid w:val="2C4605C2"/>
    <w:rsid w:val="2C4A080C"/>
    <w:rsid w:val="2C54533B"/>
    <w:rsid w:val="2C591378"/>
    <w:rsid w:val="2C733DF1"/>
    <w:rsid w:val="2C8F4862"/>
    <w:rsid w:val="2C9E5AC8"/>
    <w:rsid w:val="2CA2721B"/>
    <w:rsid w:val="2CB600FC"/>
    <w:rsid w:val="2CC9246F"/>
    <w:rsid w:val="2CD61058"/>
    <w:rsid w:val="2D026315"/>
    <w:rsid w:val="2D0764BD"/>
    <w:rsid w:val="2D0A24BA"/>
    <w:rsid w:val="2D0B3169"/>
    <w:rsid w:val="2D0D4219"/>
    <w:rsid w:val="2D122B4E"/>
    <w:rsid w:val="2D1F2D4D"/>
    <w:rsid w:val="2D2626A0"/>
    <w:rsid w:val="2D2D2DE2"/>
    <w:rsid w:val="2D340E86"/>
    <w:rsid w:val="2D395427"/>
    <w:rsid w:val="2D3D0E02"/>
    <w:rsid w:val="2D3D5AFF"/>
    <w:rsid w:val="2D4654A3"/>
    <w:rsid w:val="2D495609"/>
    <w:rsid w:val="2D5372BC"/>
    <w:rsid w:val="2D5839DB"/>
    <w:rsid w:val="2D62469E"/>
    <w:rsid w:val="2D6B40A9"/>
    <w:rsid w:val="2D765922"/>
    <w:rsid w:val="2D792F1B"/>
    <w:rsid w:val="2D892023"/>
    <w:rsid w:val="2D8A3FA2"/>
    <w:rsid w:val="2D925609"/>
    <w:rsid w:val="2D9767DC"/>
    <w:rsid w:val="2D980DDC"/>
    <w:rsid w:val="2D987372"/>
    <w:rsid w:val="2DC2086B"/>
    <w:rsid w:val="2DC35F89"/>
    <w:rsid w:val="2DC609A6"/>
    <w:rsid w:val="2DCE26BE"/>
    <w:rsid w:val="2DCE5F69"/>
    <w:rsid w:val="2DD755E4"/>
    <w:rsid w:val="2DDD4F0A"/>
    <w:rsid w:val="2DF37ABF"/>
    <w:rsid w:val="2DF95234"/>
    <w:rsid w:val="2E044E9A"/>
    <w:rsid w:val="2E063514"/>
    <w:rsid w:val="2E106174"/>
    <w:rsid w:val="2E170B60"/>
    <w:rsid w:val="2E2D76DF"/>
    <w:rsid w:val="2E2E6511"/>
    <w:rsid w:val="2E34792A"/>
    <w:rsid w:val="2E437E73"/>
    <w:rsid w:val="2E4F0E88"/>
    <w:rsid w:val="2E5034DC"/>
    <w:rsid w:val="2E572AB9"/>
    <w:rsid w:val="2E58199C"/>
    <w:rsid w:val="2E7258DC"/>
    <w:rsid w:val="2E79458E"/>
    <w:rsid w:val="2E797A78"/>
    <w:rsid w:val="2E7C6A94"/>
    <w:rsid w:val="2E7F3812"/>
    <w:rsid w:val="2E8321A5"/>
    <w:rsid w:val="2E8A404A"/>
    <w:rsid w:val="2E9F6D95"/>
    <w:rsid w:val="2EAE350B"/>
    <w:rsid w:val="2EB20A6C"/>
    <w:rsid w:val="2EBC2287"/>
    <w:rsid w:val="2ECA3116"/>
    <w:rsid w:val="2ECE6C94"/>
    <w:rsid w:val="2ED2618A"/>
    <w:rsid w:val="2EDD7896"/>
    <w:rsid w:val="2EE90D4D"/>
    <w:rsid w:val="2EEA6E65"/>
    <w:rsid w:val="2EFA17E9"/>
    <w:rsid w:val="2F00052B"/>
    <w:rsid w:val="2F0367CD"/>
    <w:rsid w:val="2F083F54"/>
    <w:rsid w:val="2F1251F2"/>
    <w:rsid w:val="2F377F11"/>
    <w:rsid w:val="2F4D49C0"/>
    <w:rsid w:val="2F4F6FBB"/>
    <w:rsid w:val="2F5E5B1E"/>
    <w:rsid w:val="2F61116A"/>
    <w:rsid w:val="2F664E2B"/>
    <w:rsid w:val="2F6C7BE3"/>
    <w:rsid w:val="2F783485"/>
    <w:rsid w:val="2F7F5C0B"/>
    <w:rsid w:val="2F807842"/>
    <w:rsid w:val="2FA6492D"/>
    <w:rsid w:val="2FBA5EC5"/>
    <w:rsid w:val="2FC67770"/>
    <w:rsid w:val="2FC972D2"/>
    <w:rsid w:val="2FD71CA4"/>
    <w:rsid w:val="2FDC6CBD"/>
    <w:rsid w:val="2FF93066"/>
    <w:rsid w:val="301103CD"/>
    <w:rsid w:val="30130869"/>
    <w:rsid w:val="30133FEC"/>
    <w:rsid w:val="301A71CE"/>
    <w:rsid w:val="301E049B"/>
    <w:rsid w:val="302A4BE6"/>
    <w:rsid w:val="302B1223"/>
    <w:rsid w:val="30300618"/>
    <w:rsid w:val="30307691"/>
    <w:rsid w:val="303867AA"/>
    <w:rsid w:val="304478EC"/>
    <w:rsid w:val="30477603"/>
    <w:rsid w:val="304A1F48"/>
    <w:rsid w:val="304D174B"/>
    <w:rsid w:val="30684D7B"/>
    <w:rsid w:val="30761B12"/>
    <w:rsid w:val="30916BB1"/>
    <w:rsid w:val="30962F3E"/>
    <w:rsid w:val="30986D57"/>
    <w:rsid w:val="30AA2585"/>
    <w:rsid w:val="30C16A19"/>
    <w:rsid w:val="30CA4DB3"/>
    <w:rsid w:val="30CD13EE"/>
    <w:rsid w:val="30D32236"/>
    <w:rsid w:val="30FA7530"/>
    <w:rsid w:val="30FF2795"/>
    <w:rsid w:val="310375CD"/>
    <w:rsid w:val="311611B3"/>
    <w:rsid w:val="313A40A8"/>
    <w:rsid w:val="313C313D"/>
    <w:rsid w:val="314E236F"/>
    <w:rsid w:val="31552F50"/>
    <w:rsid w:val="315E0B07"/>
    <w:rsid w:val="31614403"/>
    <w:rsid w:val="31621F46"/>
    <w:rsid w:val="31623972"/>
    <w:rsid w:val="316E7CA0"/>
    <w:rsid w:val="317206BF"/>
    <w:rsid w:val="317932EA"/>
    <w:rsid w:val="317D34AA"/>
    <w:rsid w:val="317E5000"/>
    <w:rsid w:val="31B718F2"/>
    <w:rsid w:val="31BD323E"/>
    <w:rsid w:val="31D20051"/>
    <w:rsid w:val="31EF7EE8"/>
    <w:rsid w:val="31F9420D"/>
    <w:rsid w:val="3201404F"/>
    <w:rsid w:val="320901F5"/>
    <w:rsid w:val="320B7CCB"/>
    <w:rsid w:val="32105DE8"/>
    <w:rsid w:val="3235187E"/>
    <w:rsid w:val="3237186B"/>
    <w:rsid w:val="323B6798"/>
    <w:rsid w:val="32454376"/>
    <w:rsid w:val="32466B7E"/>
    <w:rsid w:val="32537B57"/>
    <w:rsid w:val="325F618E"/>
    <w:rsid w:val="326A40B9"/>
    <w:rsid w:val="326B2DFA"/>
    <w:rsid w:val="326E5B28"/>
    <w:rsid w:val="32757E99"/>
    <w:rsid w:val="328F5534"/>
    <w:rsid w:val="32910B8E"/>
    <w:rsid w:val="329234AC"/>
    <w:rsid w:val="329A6ACE"/>
    <w:rsid w:val="32A230DB"/>
    <w:rsid w:val="32CF28C2"/>
    <w:rsid w:val="32DF351E"/>
    <w:rsid w:val="32EE5E41"/>
    <w:rsid w:val="32F40F87"/>
    <w:rsid w:val="32FD7C76"/>
    <w:rsid w:val="330246BF"/>
    <w:rsid w:val="330C22FC"/>
    <w:rsid w:val="33247878"/>
    <w:rsid w:val="33385662"/>
    <w:rsid w:val="33540E5D"/>
    <w:rsid w:val="335A0521"/>
    <w:rsid w:val="335E7B11"/>
    <w:rsid w:val="3364318B"/>
    <w:rsid w:val="33691888"/>
    <w:rsid w:val="336A499A"/>
    <w:rsid w:val="33714830"/>
    <w:rsid w:val="33737F51"/>
    <w:rsid w:val="337964FF"/>
    <w:rsid w:val="337D34FB"/>
    <w:rsid w:val="33813CAA"/>
    <w:rsid w:val="338A0D6A"/>
    <w:rsid w:val="33900F1D"/>
    <w:rsid w:val="33913DC1"/>
    <w:rsid w:val="3391740A"/>
    <w:rsid w:val="33AD318F"/>
    <w:rsid w:val="33BF4199"/>
    <w:rsid w:val="33C57F19"/>
    <w:rsid w:val="33D151B9"/>
    <w:rsid w:val="33D4727F"/>
    <w:rsid w:val="33E76BD1"/>
    <w:rsid w:val="33EE636B"/>
    <w:rsid w:val="33FE62E7"/>
    <w:rsid w:val="340D25F6"/>
    <w:rsid w:val="34172EFD"/>
    <w:rsid w:val="342B76C7"/>
    <w:rsid w:val="343A1527"/>
    <w:rsid w:val="343C69D1"/>
    <w:rsid w:val="34447898"/>
    <w:rsid w:val="344E62FA"/>
    <w:rsid w:val="3472234D"/>
    <w:rsid w:val="347D500F"/>
    <w:rsid w:val="34830157"/>
    <w:rsid w:val="34872D27"/>
    <w:rsid w:val="349164BD"/>
    <w:rsid w:val="34BD02AE"/>
    <w:rsid w:val="34C70B28"/>
    <w:rsid w:val="34DA26A8"/>
    <w:rsid w:val="34E43AD1"/>
    <w:rsid w:val="34E960F1"/>
    <w:rsid w:val="34ED6696"/>
    <w:rsid w:val="350B42D5"/>
    <w:rsid w:val="350F6258"/>
    <w:rsid w:val="351A603C"/>
    <w:rsid w:val="351B4A13"/>
    <w:rsid w:val="352743C4"/>
    <w:rsid w:val="352821F6"/>
    <w:rsid w:val="35387F19"/>
    <w:rsid w:val="3539550B"/>
    <w:rsid w:val="353C7CFC"/>
    <w:rsid w:val="356678B4"/>
    <w:rsid w:val="3573649F"/>
    <w:rsid w:val="357E4B0A"/>
    <w:rsid w:val="35866D7F"/>
    <w:rsid w:val="358F6BDF"/>
    <w:rsid w:val="35930182"/>
    <w:rsid w:val="35A26D98"/>
    <w:rsid w:val="35A330D9"/>
    <w:rsid w:val="35C06D50"/>
    <w:rsid w:val="35CC7C6C"/>
    <w:rsid w:val="35D24294"/>
    <w:rsid w:val="35D41F5E"/>
    <w:rsid w:val="35E23FDD"/>
    <w:rsid w:val="35FF6F3C"/>
    <w:rsid w:val="36075F27"/>
    <w:rsid w:val="360F46EB"/>
    <w:rsid w:val="361129EA"/>
    <w:rsid w:val="36121506"/>
    <w:rsid w:val="361D7A43"/>
    <w:rsid w:val="361F3323"/>
    <w:rsid w:val="3631089E"/>
    <w:rsid w:val="36402EFA"/>
    <w:rsid w:val="364271C9"/>
    <w:rsid w:val="36496A51"/>
    <w:rsid w:val="365623F6"/>
    <w:rsid w:val="36670090"/>
    <w:rsid w:val="366D70A8"/>
    <w:rsid w:val="36720B63"/>
    <w:rsid w:val="368230C6"/>
    <w:rsid w:val="368F7E4F"/>
    <w:rsid w:val="36985297"/>
    <w:rsid w:val="369F633B"/>
    <w:rsid w:val="36A30FDB"/>
    <w:rsid w:val="36A7007C"/>
    <w:rsid w:val="36AA0A21"/>
    <w:rsid w:val="36B10648"/>
    <w:rsid w:val="36B24AE8"/>
    <w:rsid w:val="36BD0DC4"/>
    <w:rsid w:val="36D51D00"/>
    <w:rsid w:val="36D66B5E"/>
    <w:rsid w:val="36E93760"/>
    <w:rsid w:val="36FB4305"/>
    <w:rsid w:val="3708597F"/>
    <w:rsid w:val="37096815"/>
    <w:rsid w:val="370E4B4D"/>
    <w:rsid w:val="370F7060"/>
    <w:rsid w:val="37134801"/>
    <w:rsid w:val="37150C16"/>
    <w:rsid w:val="37173233"/>
    <w:rsid w:val="37226558"/>
    <w:rsid w:val="3734159D"/>
    <w:rsid w:val="37366323"/>
    <w:rsid w:val="37382526"/>
    <w:rsid w:val="374625F4"/>
    <w:rsid w:val="374E78C1"/>
    <w:rsid w:val="375353D0"/>
    <w:rsid w:val="3758590A"/>
    <w:rsid w:val="37602E60"/>
    <w:rsid w:val="37754B85"/>
    <w:rsid w:val="377852C0"/>
    <w:rsid w:val="378229A7"/>
    <w:rsid w:val="37824265"/>
    <w:rsid w:val="3784394E"/>
    <w:rsid w:val="379231B9"/>
    <w:rsid w:val="37987437"/>
    <w:rsid w:val="37AF6474"/>
    <w:rsid w:val="37BC1DFF"/>
    <w:rsid w:val="37C94031"/>
    <w:rsid w:val="37CA042E"/>
    <w:rsid w:val="37D44549"/>
    <w:rsid w:val="37D77B09"/>
    <w:rsid w:val="37D97EDE"/>
    <w:rsid w:val="37DA45C2"/>
    <w:rsid w:val="37DF3A13"/>
    <w:rsid w:val="37E82930"/>
    <w:rsid w:val="37F222D9"/>
    <w:rsid w:val="381902FC"/>
    <w:rsid w:val="381F218D"/>
    <w:rsid w:val="382B1BDF"/>
    <w:rsid w:val="382E392C"/>
    <w:rsid w:val="383024D3"/>
    <w:rsid w:val="38342E90"/>
    <w:rsid w:val="38402F80"/>
    <w:rsid w:val="384A24FB"/>
    <w:rsid w:val="384B7332"/>
    <w:rsid w:val="384F1685"/>
    <w:rsid w:val="385056AF"/>
    <w:rsid w:val="38510777"/>
    <w:rsid w:val="38706DCB"/>
    <w:rsid w:val="388E5848"/>
    <w:rsid w:val="38991BA1"/>
    <w:rsid w:val="389E0451"/>
    <w:rsid w:val="38A94D18"/>
    <w:rsid w:val="38BD31EE"/>
    <w:rsid w:val="38CB3BDF"/>
    <w:rsid w:val="38D33D29"/>
    <w:rsid w:val="38DB01DF"/>
    <w:rsid w:val="38E36442"/>
    <w:rsid w:val="38E40A5B"/>
    <w:rsid w:val="39045619"/>
    <w:rsid w:val="39247E4A"/>
    <w:rsid w:val="39285D57"/>
    <w:rsid w:val="39372A0B"/>
    <w:rsid w:val="394B0D09"/>
    <w:rsid w:val="394B6470"/>
    <w:rsid w:val="3953321D"/>
    <w:rsid w:val="396778BC"/>
    <w:rsid w:val="39860592"/>
    <w:rsid w:val="39872512"/>
    <w:rsid w:val="398E3C58"/>
    <w:rsid w:val="39931A05"/>
    <w:rsid w:val="39945066"/>
    <w:rsid w:val="39A2099B"/>
    <w:rsid w:val="39A602F9"/>
    <w:rsid w:val="39BD45C8"/>
    <w:rsid w:val="39C2316A"/>
    <w:rsid w:val="39D7513A"/>
    <w:rsid w:val="39DA6378"/>
    <w:rsid w:val="39DE0CD3"/>
    <w:rsid w:val="39F36281"/>
    <w:rsid w:val="39F537D5"/>
    <w:rsid w:val="39F56CC2"/>
    <w:rsid w:val="39FD376D"/>
    <w:rsid w:val="39FD6C9C"/>
    <w:rsid w:val="3A0224B9"/>
    <w:rsid w:val="3A071002"/>
    <w:rsid w:val="3A11784F"/>
    <w:rsid w:val="3A156E39"/>
    <w:rsid w:val="3A16794C"/>
    <w:rsid w:val="3A21256E"/>
    <w:rsid w:val="3A22476C"/>
    <w:rsid w:val="3A226969"/>
    <w:rsid w:val="3A3F47CE"/>
    <w:rsid w:val="3A4E1C5D"/>
    <w:rsid w:val="3A523735"/>
    <w:rsid w:val="3A5307BE"/>
    <w:rsid w:val="3A557AE4"/>
    <w:rsid w:val="3A6B0F84"/>
    <w:rsid w:val="3A715C57"/>
    <w:rsid w:val="3A727435"/>
    <w:rsid w:val="3A745FD9"/>
    <w:rsid w:val="3A7B122B"/>
    <w:rsid w:val="3A94055A"/>
    <w:rsid w:val="3A9B7697"/>
    <w:rsid w:val="3AC17E3A"/>
    <w:rsid w:val="3AC71C01"/>
    <w:rsid w:val="3ACB5746"/>
    <w:rsid w:val="3ADD2B05"/>
    <w:rsid w:val="3AE417E3"/>
    <w:rsid w:val="3AE440AF"/>
    <w:rsid w:val="3AF7667E"/>
    <w:rsid w:val="3AFE10DA"/>
    <w:rsid w:val="3B032215"/>
    <w:rsid w:val="3B113F51"/>
    <w:rsid w:val="3B185809"/>
    <w:rsid w:val="3B264B22"/>
    <w:rsid w:val="3B2C21C1"/>
    <w:rsid w:val="3B307112"/>
    <w:rsid w:val="3B540533"/>
    <w:rsid w:val="3B5A2A22"/>
    <w:rsid w:val="3B6B5A08"/>
    <w:rsid w:val="3B70246F"/>
    <w:rsid w:val="3B7804A3"/>
    <w:rsid w:val="3B8E2153"/>
    <w:rsid w:val="3B9B0E38"/>
    <w:rsid w:val="3BA03B83"/>
    <w:rsid w:val="3BB20883"/>
    <w:rsid w:val="3BC34E75"/>
    <w:rsid w:val="3BCB270F"/>
    <w:rsid w:val="3BCF7E47"/>
    <w:rsid w:val="3BD96AA6"/>
    <w:rsid w:val="3BE940D8"/>
    <w:rsid w:val="3BE94483"/>
    <w:rsid w:val="3BFC7400"/>
    <w:rsid w:val="3C0429BF"/>
    <w:rsid w:val="3C0A7E90"/>
    <w:rsid w:val="3C1A201A"/>
    <w:rsid w:val="3C2C3FCE"/>
    <w:rsid w:val="3C371D4B"/>
    <w:rsid w:val="3C3B4B9D"/>
    <w:rsid w:val="3C413C82"/>
    <w:rsid w:val="3C471C36"/>
    <w:rsid w:val="3C5A6B66"/>
    <w:rsid w:val="3C5D215A"/>
    <w:rsid w:val="3C612ED7"/>
    <w:rsid w:val="3C734413"/>
    <w:rsid w:val="3C8E50A1"/>
    <w:rsid w:val="3C9278F3"/>
    <w:rsid w:val="3C9779E0"/>
    <w:rsid w:val="3C982C18"/>
    <w:rsid w:val="3CA734F8"/>
    <w:rsid w:val="3CB47629"/>
    <w:rsid w:val="3CC74223"/>
    <w:rsid w:val="3CC828D0"/>
    <w:rsid w:val="3CDB5F96"/>
    <w:rsid w:val="3CDD06FA"/>
    <w:rsid w:val="3CE23F49"/>
    <w:rsid w:val="3CEC39B8"/>
    <w:rsid w:val="3CF720E3"/>
    <w:rsid w:val="3CF72D6A"/>
    <w:rsid w:val="3CF86D06"/>
    <w:rsid w:val="3D00620E"/>
    <w:rsid w:val="3D035226"/>
    <w:rsid w:val="3D120453"/>
    <w:rsid w:val="3D145DC3"/>
    <w:rsid w:val="3D316CDB"/>
    <w:rsid w:val="3D3679ED"/>
    <w:rsid w:val="3D3D6BBD"/>
    <w:rsid w:val="3D3F6549"/>
    <w:rsid w:val="3D450F8C"/>
    <w:rsid w:val="3D477118"/>
    <w:rsid w:val="3D4C7DD0"/>
    <w:rsid w:val="3D594E54"/>
    <w:rsid w:val="3D62706F"/>
    <w:rsid w:val="3D6E2272"/>
    <w:rsid w:val="3D6E5ED6"/>
    <w:rsid w:val="3D7C727A"/>
    <w:rsid w:val="3D81786B"/>
    <w:rsid w:val="3D830417"/>
    <w:rsid w:val="3D877AC5"/>
    <w:rsid w:val="3D882D35"/>
    <w:rsid w:val="3D8D2848"/>
    <w:rsid w:val="3D94235D"/>
    <w:rsid w:val="3D9461E1"/>
    <w:rsid w:val="3DB34E86"/>
    <w:rsid w:val="3DC93F58"/>
    <w:rsid w:val="3DD85289"/>
    <w:rsid w:val="3DE05321"/>
    <w:rsid w:val="3DF379B0"/>
    <w:rsid w:val="3DF95812"/>
    <w:rsid w:val="3E05314D"/>
    <w:rsid w:val="3E087F09"/>
    <w:rsid w:val="3E142837"/>
    <w:rsid w:val="3E166C6B"/>
    <w:rsid w:val="3E1D4077"/>
    <w:rsid w:val="3E1D4B24"/>
    <w:rsid w:val="3E2811AE"/>
    <w:rsid w:val="3E2E1A1A"/>
    <w:rsid w:val="3E3473DF"/>
    <w:rsid w:val="3E3A04FA"/>
    <w:rsid w:val="3E3D6B96"/>
    <w:rsid w:val="3E3E1C48"/>
    <w:rsid w:val="3E441C7D"/>
    <w:rsid w:val="3E490256"/>
    <w:rsid w:val="3E55739E"/>
    <w:rsid w:val="3E6C43C8"/>
    <w:rsid w:val="3E8227F0"/>
    <w:rsid w:val="3E8338F9"/>
    <w:rsid w:val="3E9B4B40"/>
    <w:rsid w:val="3EB6578C"/>
    <w:rsid w:val="3EB71AC8"/>
    <w:rsid w:val="3EC85E34"/>
    <w:rsid w:val="3ED0424C"/>
    <w:rsid w:val="3EE71542"/>
    <w:rsid w:val="3EF025A4"/>
    <w:rsid w:val="3EF31E7F"/>
    <w:rsid w:val="3EF36DF0"/>
    <w:rsid w:val="3EFA08FC"/>
    <w:rsid w:val="3F053EF6"/>
    <w:rsid w:val="3F093188"/>
    <w:rsid w:val="3F173F6B"/>
    <w:rsid w:val="3F1E1DE8"/>
    <w:rsid w:val="3F2244AD"/>
    <w:rsid w:val="3F253B0C"/>
    <w:rsid w:val="3F2B0925"/>
    <w:rsid w:val="3F2C04C4"/>
    <w:rsid w:val="3F3D1F51"/>
    <w:rsid w:val="3F3E7C9F"/>
    <w:rsid w:val="3F416B99"/>
    <w:rsid w:val="3F4553C3"/>
    <w:rsid w:val="3F4F5AD7"/>
    <w:rsid w:val="3F537FF3"/>
    <w:rsid w:val="3F5D0DD6"/>
    <w:rsid w:val="3F5D1180"/>
    <w:rsid w:val="3F6B75A6"/>
    <w:rsid w:val="3F840943"/>
    <w:rsid w:val="3F8C0A49"/>
    <w:rsid w:val="3F913853"/>
    <w:rsid w:val="3F9660C3"/>
    <w:rsid w:val="3F966B9F"/>
    <w:rsid w:val="3FA534CC"/>
    <w:rsid w:val="3FA827ED"/>
    <w:rsid w:val="3FAE45A4"/>
    <w:rsid w:val="3FB45C58"/>
    <w:rsid w:val="3FBA5EFD"/>
    <w:rsid w:val="3FC32955"/>
    <w:rsid w:val="3FC36557"/>
    <w:rsid w:val="3FC956FF"/>
    <w:rsid w:val="3FD13F50"/>
    <w:rsid w:val="3FDC5F31"/>
    <w:rsid w:val="3FDD07D5"/>
    <w:rsid w:val="3FE04625"/>
    <w:rsid w:val="3FE24B94"/>
    <w:rsid w:val="3FE86CE8"/>
    <w:rsid w:val="3FF556AE"/>
    <w:rsid w:val="3FF7456C"/>
    <w:rsid w:val="3FFA4676"/>
    <w:rsid w:val="3FFB0F66"/>
    <w:rsid w:val="40007A90"/>
    <w:rsid w:val="40146E6B"/>
    <w:rsid w:val="401D46D5"/>
    <w:rsid w:val="403052F1"/>
    <w:rsid w:val="40345E51"/>
    <w:rsid w:val="404469FD"/>
    <w:rsid w:val="40465232"/>
    <w:rsid w:val="404A2717"/>
    <w:rsid w:val="404E779F"/>
    <w:rsid w:val="4053018C"/>
    <w:rsid w:val="40570178"/>
    <w:rsid w:val="4059090D"/>
    <w:rsid w:val="406277A4"/>
    <w:rsid w:val="4065170A"/>
    <w:rsid w:val="40687965"/>
    <w:rsid w:val="406E5CAB"/>
    <w:rsid w:val="40713C35"/>
    <w:rsid w:val="40745F23"/>
    <w:rsid w:val="40773B17"/>
    <w:rsid w:val="407965C6"/>
    <w:rsid w:val="408376F8"/>
    <w:rsid w:val="40963652"/>
    <w:rsid w:val="40A25054"/>
    <w:rsid w:val="40A325E0"/>
    <w:rsid w:val="40B55EFA"/>
    <w:rsid w:val="40BD0DA1"/>
    <w:rsid w:val="40EC7D18"/>
    <w:rsid w:val="40ED11A0"/>
    <w:rsid w:val="40F85D0F"/>
    <w:rsid w:val="40FB4E54"/>
    <w:rsid w:val="40FD1BF0"/>
    <w:rsid w:val="41096BC0"/>
    <w:rsid w:val="410A75B6"/>
    <w:rsid w:val="410B452A"/>
    <w:rsid w:val="41195A2A"/>
    <w:rsid w:val="412E1EDF"/>
    <w:rsid w:val="413353F1"/>
    <w:rsid w:val="41447C57"/>
    <w:rsid w:val="41451407"/>
    <w:rsid w:val="41513BC9"/>
    <w:rsid w:val="41730CBE"/>
    <w:rsid w:val="41735B7F"/>
    <w:rsid w:val="417907A8"/>
    <w:rsid w:val="41975D94"/>
    <w:rsid w:val="41AC72A8"/>
    <w:rsid w:val="41C06A73"/>
    <w:rsid w:val="41D574BC"/>
    <w:rsid w:val="41D75714"/>
    <w:rsid w:val="41D95EE3"/>
    <w:rsid w:val="41DD3BC3"/>
    <w:rsid w:val="41E77C8C"/>
    <w:rsid w:val="41EE2F03"/>
    <w:rsid w:val="41F466FD"/>
    <w:rsid w:val="42002BC7"/>
    <w:rsid w:val="42026B03"/>
    <w:rsid w:val="4203048B"/>
    <w:rsid w:val="420D197F"/>
    <w:rsid w:val="421316FC"/>
    <w:rsid w:val="4218487C"/>
    <w:rsid w:val="42187EBE"/>
    <w:rsid w:val="421C3DAC"/>
    <w:rsid w:val="4227435A"/>
    <w:rsid w:val="422A59B8"/>
    <w:rsid w:val="42375131"/>
    <w:rsid w:val="424B5824"/>
    <w:rsid w:val="42610528"/>
    <w:rsid w:val="42655B81"/>
    <w:rsid w:val="42660F50"/>
    <w:rsid w:val="426973AD"/>
    <w:rsid w:val="427A67A1"/>
    <w:rsid w:val="427E0B36"/>
    <w:rsid w:val="42895E35"/>
    <w:rsid w:val="429C1193"/>
    <w:rsid w:val="429F1819"/>
    <w:rsid w:val="42A03D98"/>
    <w:rsid w:val="42A21649"/>
    <w:rsid w:val="42B2706C"/>
    <w:rsid w:val="42B9333F"/>
    <w:rsid w:val="42B94BC1"/>
    <w:rsid w:val="42C30254"/>
    <w:rsid w:val="42C42A08"/>
    <w:rsid w:val="42D064B1"/>
    <w:rsid w:val="42DB5C3F"/>
    <w:rsid w:val="42DE48A3"/>
    <w:rsid w:val="42E16058"/>
    <w:rsid w:val="42E66EDA"/>
    <w:rsid w:val="42F01DCB"/>
    <w:rsid w:val="42F17BF5"/>
    <w:rsid w:val="42F87EC9"/>
    <w:rsid w:val="42FA45BF"/>
    <w:rsid w:val="430E7E66"/>
    <w:rsid w:val="43222AC0"/>
    <w:rsid w:val="4332317A"/>
    <w:rsid w:val="433F6B54"/>
    <w:rsid w:val="4346543A"/>
    <w:rsid w:val="435B1259"/>
    <w:rsid w:val="436263D5"/>
    <w:rsid w:val="437556C4"/>
    <w:rsid w:val="437871D1"/>
    <w:rsid w:val="437C3AD0"/>
    <w:rsid w:val="43874CD4"/>
    <w:rsid w:val="43AF2D32"/>
    <w:rsid w:val="43B76E4F"/>
    <w:rsid w:val="43C92044"/>
    <w:rsid w:val="43CA7A77"/>
    <w:rsid w:val="43CF0206"/>
    <w:rsid w:val="43D235C5"/>
    <w:rsid w:val="43D85D6D"/>
    <w:rsid w:val="43E96E8C"/>
    <w:rsid w:val="43EC6F1F"/>
    <w:rsid w:val="43F30C8A"/>
    <w:rsid w:val="43FE44BA"/>
    <w:rsid w:val="43FE62DB"/>
    <w:rsid w:val="440D5045"/>
    <w:rsid w:val="44300615"/>
    <w:rsid w:val="44371929"/>
    <w:rsid w:val="443740AF"/>
    <w:rsid w:val="44480935"/>
    <w:rsid w:val="444851FA"/>
    <w:rsid w:val="44572BAD"/>
    <w:rsid w:val="4457512C"/>
    <w:rsid w:val="445E4DEE"/>
    <w:rsid w:val="44640994"/>
    <w:rsid w:val="446456BB"/>
    <w:rsid w:val="446B0434"/>
    <w:rsid w:val="446C35F3"/>
    <w:rsid w:val="44706761"/>
    <w:rsid w:val="44756A66"/>
    <w:rsid w:val="4477194D"/>
    <w:rsid w:val="447C3EDF"/>
    <w:rsid w:val="447E4EBE"/>
    <w:rsid w:val="447F0CBA"/>
    <w:rsid w:val="44846EF4"/>
    <w:rsid w:val="4488274F"/>
    <w:rsid w:val="448D7804"/>
    <w:rsid w:val="4493339D"/>
    <w:rsid w:val="44957F46"/>
    <w:rsid w:val="44994CF5"/>
    <w:rsid w:val="449A491B"/>
    <w:rsid w:val="44A24696"/>
    <w:rsid w:val="44B33002"/>
    <w:rsid w:val="44CD5F97"/>
    <w:rsid w:val="44DC46EB"/>
    <w:rsid w:val="44F03F8F"/>
    <w:rsid w:val="44F14ECF"/>
    <w:rsid w:val="450471A9"/>
    <w:rsid w:val="450C6F50"/>
    <w:rsid w:val="45115669"/>
    <w:rsid w:val="45156D55"/>
    <w:rsid w:val="451A1C4E"/>
    <w:rsid w:val="451A5933"/>
    <w:rsid w:val="45275172"/>
    <w:rsid w:val="452754C3"/>
    <w:rsid w:val="45277531"/>
    <w:rsid w:val="452B196E"/>
    <w:rsid w:val="45332511"/>
    <w:rsid w:val="45412C46"/>
    <w:rsid w:val="45514AD5"/>
    <w:rsid w:val="4552412E"/>
    <w:rsid w:val="455908C0"/>
    <w:rsid w:val="45644E09"/>
    <w:rsid w:val="45662D6A"/>
    <w:rsid w:val="45761EDD"/>
    <w:rsid w:val="45780503"/>
    <w:rsid w:val="457A7286"/>
    <w:rsid w:val="457B06AA"/>
    <w:rsid w:val="457C7D39"/>
    <w:rsid w:val="458667C4"/>
    <w:rsid w:val="458D234F"/>
    <w:rsid w:val="458F5163"/>
    <w:rsid w:val="459C5A47"/>
    <w:rsid w:val="45A375D5"/>
    <w:rsid w:val="45A82F38"/>
    <w:rsid w:val="45AB0A76"/>
    <w:rsid w:val="45AC0441"/>
    <w:rsid w:val="45B047D1"/>
    <w:rsid w:val="45B45068"/>
    <w:rsid w:val="45BE6191"/>
    <w:rsid w:val="45BE648C"/>
    <w:rsid w:val="45C37881"/>
    <w:rsid w:val="45CD2126"/>
    <w:rsid w:val="460C5979"/>
    <w:rsid w:val="46110AB3"/>
    <w:rsid w:val="46143B66"/>
    <w:rsid w:val="462045E4"/>
    <w:rsid w:val="46214325"/>
    <w:rsid w:val="4626083B"/>
    <w:rsid w:val="463246EC"/>
    <w:rsid w:val="463A3547"/>
    <w:rsid w:val="46427647"/>
    <w:rsid w:val="464B29D6"/>
    <w:rsid w:val="46555DC3"/>
    <w:rsid w:val="46617DB2"/>
    <w:rsid w:val="46621065"/>
    <w:rsid w:val="46665198"/>
    <w:rsid w:val="46697236"/>
    <w:rsid w:val="46770F8B"/>
    <w:rsid w:val="467745A2"/>
    <w:rsid w:val="467C16FA"/>
    <w:rsid w:val="46894B18"/>
    <w:rsid w:val="469448C6"/>
    <w:rsid w:val="469F39B5"/>
    <w:rsid w:val="46A232B5"/>
    <w:rsid w:val="46A50B23"/>
    <w:rsid w:val="46B80AF8"/>
    <w:rsid w:val="46B87BDD"/>
    <w:rsid w:val="46D37F0B"/>
    <w:rsid w:val="46D71533"/>
    <w:rsid w:val="46E53335"/>
    <w:rsid w:val="47040E98"/>
    <w:rsid w:val="470A337F"/>
    <w:rsid w:val="47155D89"/>
    <w:rsid w:val="4718015D"/>
    <w:rsid w:val="47253C54"/>
    <w:rsid w:val="472A1751"/>
    <w:rsid w:val="473069AF"/>
    <w:rsid w:val="473672E7"/>
    <w:rsid w:val="473F2E3A"/>
    <w:rsid w:val="474A0EAF"/>
    <w:rsid w:val="474E50BE"/>
    <w:rsid w:val="475D6F95"/>
    <w:rsid w:val="47696F9C"/>
    <w:rsid w:val="47725A17"/>
    <w:rsid w:val="477D3243"/>
    <w:rsid w:val="478821A1"/>
    <w:rsid w:val="478837D2"/>
    <w:rsid w:val="479128A9"/>
    <w:rsid w:val="47975EDC"/>
    <w:rsid w:val="47983B19"/>
    <w:rsid w:val="479E1EC1"/>
    <w:rsid w:val="479E5E8D"/>
    <w:rsid w:val="47A3609D"/>
    <w:rsid w:val="47B22306"/>
    <w:rsid w:val="47B806D7"/>
    <w:rsid w:val="47C01792"/>
    <w:rsid w:val="47C03E43"/>
    <w:rsid w:val="47C57A48"/>
    <w:rsid w:val="47D511BD"/>
    <w:rsid w:val="47DA6CBA"/>
    <w:rsid w:val="480321E6"/>
    <w:rsid w:val="4808150F"/>
    <w:rsid w:val="480E6650"/>
    <w:rsid w:val="480F51A8"/>
    <w:rsid w:val="48256B1B"/>
    <w:rsid w:val="48282713"/>
    <w:rsid w:val="484417FA"/>
    <w:rsid w:val="48450ECE"/>
    <w:rsid w:val="484759CD"/>
    <w:rsid w:val="484B14EC"/>
    <w:rsid w:val="48701816"/>
    <w:rsid w:val="48713351"/>
    <w:rsid w:val="487E3BB9"/>
    <w:rsid w:val="48802846"/>
    <w:rsid w:val="48850157"/>
    <w:rsid w:val="488E3A0E"/>
    <w:rsid w:val="48B116EA"/>
    <w:rsid w:val="48B74C7A"/>
    <w:rsid w:val="48BE32BF"/>
    <w:rsid w:val="48C354EC"/>
    <w:rsid w:val="48C97EF9"/>
    <w:rsid w:val="48CB2583"/>
    <w:rsid w:val="48D429DD"/>
    <w:rsid w:val="48E01C77"/>
    <w:rsid w:val="48E22285"/>
    <w:rsid w:val="48E50D90"/>
    <w:rsid w:val="48EC0D75"/>
    <w:rsid w:val="48F76EF0"/>
    <w:rsid w:val="48F906C8"/>
    <w:rsid w:val="48FA15CC"/>
    <w:rsid w:val="49007CCF"/>
    <w:rsid w:val="490277F9"/>
    <w:rsid w:val="490C3E65"/>
    <w:rsid w:val="49196BD7"/>
    <w:rsid w:val="491B63DF"/>
    <w:rsid w:val="491D63E9"/>
    <w:rsid w:val="492A068A"/>
    <w:rsid w:val="4932285C"/>
    <w:rsid w:val="493551FE"/>
    <w:rsid w:val="493E2F78"/>
    <w:rsid w:val="49474EFA"/>
    <w:rsid w:val="495217DF"/>
    <w:rsid w:val="4958367A"/>
    <w:rsid w:val="498A16CD"/>
    <w:rsid w:val="49990A3E"/>
    <w:rsid w:val="499F6692"/>
    <w:rsid w:val="49A33C27"/>
    <w:rsid w:val="49A750B5"/>
    <w:rsid w:val="49B73E16"/>
    <w:rsid w:val="49BE07DA"/>
    <w:rsid w:val="49C2238E"/>
    <w:rsid w:val="49C84AA0"/>
    <w:rsid w:val="49CF7FC7"/>
    <w:rsid w:val="49D7694D"/>
    <w:rsid w:val="49DD6D4D"/>
    <w:rsid w:val="49E515CA"/>
    <w:rsid w:val="49FC11EF"/>
    <w:rsid w:val="4A013507"/>
    <w:rsid w:val="4A0244D3"/>
    <w:rsid w:val="4A035870"/>
    <w:rsid w:val="4A255046"/>
    <w:rsid w:val="4A28799C"/>
    <w:rsid w:val="4A2E1525"/>
    <w:rsid w:val="4A2F72A1"/>
    <w:rsid w:val="4A3E43AB"/>
    <w:rsid w:val="4A4F73F7"/>
    <w:rsid w:val="4A5A2744"/>
    <w:rsid w:val="4A5A756D"/>
    <w:rsid w:val="4A785772"/>
    <w:rsid w:val="4A7B5051"/>
    <w:rsid w:val="4A89105B"/>
    <w:rsid w:val="4AA341CC"/>
    <w:rsid w:val="4AA51DAF"/>
    <w:rsid w:val="4AB605D1"/>
    <w:rsid w:val="4AB67E5C"/>
    <w:rsid w:val="4ABE6FB0"/>
    <w:rsid w:val="4AC13295"/>
    <w:rsid w:val="4AC31003"/>
    <w:rsid w:val="4AC40F4C"/>
    <w:rsid w:val="4ACC41EB"/>
    <w:rsid w:val="4AD25F33"/>
    <w:rsid w:val="4ADB2DDC"/>
    <w:rsid w:val="4AE072CB"/>
    <w:rsid w:val="4AE55EC4"/>
    <w:rsid w:val="4AE93159"/>
    <w:rsid w:val="4AF02EA1"/>
    <w:rsid w:val="4AF86281"/>
    <w:rsid w:val="4B072155"/>
    <w:rsid w:val="4B174032"/>
    <w:rsid w:val="4B250CF8"/>
    <w:rsid w:val="4B277E4E"/>
    <w:rsid w:val="4B287394"/>
    <w:rsid w:val="4B315351"/>
    <w:rsid w:val="4B31602E"/>
    <w:rsid w:val="4B4B5914"/>
    <w:rsid w:val="4B7C4100"/>
    <w:rsid w:val="4B830F9B"/>
    <w:rsid w:val="4B9B0C47"/>
    <w:rsid w:val="4B9D4011"/>
    <w:rsid w:val="4BB36BDD"/>
    <w:rsid w:val="4BBC374F"/>
    <w:rsid w:val="4BC32290"/>
    <w:rsid w:val="4BD0339A"/>
    <w:rsid w:val="4BF32495"/>
    <w:rsid w:val="4BFA3FA2"/>
    <w:rsid w:val="4C0103B4"/>
    <w:rsid w:val="4C2B4DDD"/>
    <w:rsid w:val="4C3025E9"/>
    <w:rsid w:val="4C562920"/>
    <w:rsid w:val="4C5D1F92"/>
    <w:rsid w:val="4C603F16"/>
    <w:rsid w:val="4C6262E0"/>
    <w:rsid w:val="4C632900"/>
    <w:rsid w:val="4C6703A3"/>
    <w:rsid w:val="4C6C6F25"/>
    <w:rsid w:val="4C6D7518"/>
    <w:rsid w:val="4C811855"/>
    <w:rsid w:val="4C923A72"/>
    <w:rsid w:val="4C95255F"/>
    <w:rsid w:val="4CB96B0F"/>
    <w:rsid w:val="4CCA2CA6"/>
    <w:rsid w:val="4CCD100D"/>
    <w:rsid w:val="4CCF1A68"/>
    <w:rsid w:val="4CD315DD"/>
    <w:rsid w:val="4CDE1A81"/>
    <w:rsid w:val="4CE34E9F"/>
    <w:rsid w:val="4CF52D94"/>
    <w:rsid w:val="4D004273"/>
    <w:rsid w:val="4D131782"/>
    <w:rsid w:val="4D133494"/>
    <w:rsid w:val="4D2B086E"/>
    <w:rsid w:val="4D3267B3"/>
    <w:rsid w:val="4D3520AA"/>
    <w:rsid w:val="4D462159"/>
    <w:rsid w:val="4D465FB7"/>
    <w:rsid w:val="4D566017"/>
    <w:rsid w:val="4D613CEC"/>
    <w:rsid w:val="4D773A25"/>
    <w:rsid w:val="4D7D3EFB"/>
    <w:rsid w:val="4D8125CD"/>
    <w:rsid w:val="4D8367CC"/>
    <w:rsid w:val="4D8B0123"/>
    <w:rsid w:val="4D9E243B"/>
    <w:rsid w:val="4D9F4BBD"/>
    <w:rsid w:val="4DAE6FC5"/>
    <w:rsid w:val="4DAF14C5"/>
    <w:rsid w:val="4DB9067A"/>
    <w:rsid w:val="4DBA4F8F"/>
    <w:rsid w:val="4DC605B6"/>
    <w:rsid w:val="4DCA0533"/>
    <w:rsid w:val="4DCF18ED"/>
    <w:rsid w:val="4DD732D2"/>
    <w:rsid w:val="4DDD4847"/>
    <w:rsid w:val="4DE6535D"/>
    <w:rsid w:val="4DE81F80"/>
    <w:rsid w:val="4DEB39E3"/>
    <w:rsid w:val="4DEC0985"/>
    <w:rsid w:val="4E0538A3"/>
    <w:rsid w:val="4E084A24"/>
    <w:rsid w:val="4E0E6818"/>
    <w:rsid w:val="4E27683A"/>
    <w:rsid w:val="4E354DF5"/>
    <w:rsid w:val="4E3D2324"/>
    <w:rsid w:val="4E4C1D55"/>
    <w:rsid w:val="4E4C50A3"/>
    <w:rsid w:val="4E510698"/>
    <w:rsid w:val="4E576363"/>
    <w:rsid w:val="4E635567"/>
    <w:rsid w:val="4E63744A"/>
    <w:rsid w:val="4E642C68"/>
    <w:rsid w:val="4E695D36"/>
    <w:rsid w:val="4E742982"/>
    <w:rsid w:val="4E866DFB"/>
    <w:rsid w:val="4E9C0636"/>
    <w:rsid w:val="4EA30DB6"/>
    <w:rsid w:val="4EA40AAA"/>
    <w:rsid w:val="4EA7341F"/>
    <w:rsid w:val="4EBD41B7"/>
    <w:rsid w:val="4EC04CC0"/>
    <w:rsid w:val="4EC062F0"/>
    <w:rsid w:val="4EC15329"/>
    <w:rsid w:val="4EC63BC9"/>
    <w:rsid w:val="4EC804EA"/>
    <w:rsid w:val="4ED26840"/>
    <w:rsid w:val="4ED71862"/>
    <w:rsid w:val="4EDB58B2"/>
    <w:rsid w:val="4EE925CE"/>
    <w:rsid w:val="4EEF2E30"/>
    <w:rsid w:val="4EF24828"/>
    <w:rsid w:val="4EFE7F59"/>
    <w:rsid w:val="4F016DF9"/>
    <w:rsid w:val="4F130374"/>
    <w:rsid w:val="4F285975"/>
    <w:rsid w:val="4F2A7BF3"/>
    <w:rsid w:val="4F2E2624"/>
    <w:rsid w:val="4F4E1077"/>
    <w:rsid w:val="4F4E7DA7"/>
    <w:rsid w:val="4F52614B"/>
    <w:rsid w:val="4F546156"/>
    <w:rsid w:val="4F550A23"/>
    <w:rsid w:val="4F662B4D"/>
    <w:rsid w:val="4F671A09"/>
    <w:rsid w:val="4F844A99"/>
    <w:rsid w:val="4F874A89"/>
    <w:rsid w:val="4F937C79"/>
    <w:rsid w:val="4F94662C"/>
    <w:rsid w:val="4FAB2D34"/>
    <w:rsid w:val="4FB00163"/>
    <w:rsid w:val="4FB208E7"/>
    <w:rsid w:val="4FD11690"/>
    <w:rsid w:val="4FDC4355"/>
    <w:rsid w:val="4FE30332"/>
    <w:rsid w:val="4FE70BB4"/>
    <w:rsid w:val="4FE73C01"/>
    <w:rsid w:val="4FE87C31"/>
    <w:rsid w:val="4FF82C0E"/>
    <w:rsid w:val="50051807"/>
    <w:rsid w:val="500815B6"/>
    <w:rsid w:val="500B39BC"/>
    <w:rsid w:val="5022123F"/>
    <w:rsid w:val="502B7315"/>
    <w:rsid w:val="503F32CF"/>
    <w:rsid w:val="5041152A"/>
    <w:rsid w:val="50421ACF"/>
    <w:rsid w:val="5042655E"/>
    <w:rsid w:val="505B6052"/>
    <w:rsid w:val="505C5D66"/>
    <w:rsid w:val="5074360F"/>
    <w:rsid w:val="507E1B25"/>
    <w:rsid w:val="508E3B94"/>
    <w:rsid w:val="508E4492"/>
    <w:rsid w:val="5090223F"/>
    <w:rsid w:val="50924591"/>
    <w:rsid w:val="509B6236"/>
    <w:rsid w:val="50AB5EB6"/>
    <w:rsid w:val="50AE0413"/>
    <w:rsid w:val="50B16618"/>
    <w:rsid w:val="50BB6306"/>
    <w:rsid w:val="50BE6F9A"/>
    <w:rsid w:val="50C63DCB"/>
    <w:rsid w:val="50DD4592"/>
    <w:rsid w:val="50DF6379"/>
    <w:rsid w:val="50EF1C07"/>
    <w:rsid w:val="50F8688B"/>
    <w:rsid w:val="50FC4E36"/>
    <w:rsid w:val="5105169B"/>
    <w:rsid w:val="51062881"/>
    <w:rsid w:val="51081B92"/>
    <w:rsid w:val="510861B3"/>
    <w:rsid w:val="51093901"/>
    <w:rsid w:val="510956BD"/>
    <w:rsid w:val="51230220"/>
    <w:rsid w:val="512C57DC"/>
    <w:rsid w:val="51352D55"/>
    <w:rsid w:val="51471753"/>
    <w:rsid w:val="514E4912"/>
    <w:rsid w:val="515400FF"/>
    <w:rsid w:val="515D735D"/>
    <w:rsid w:val="516974E9"/>
    <w:rsid w:val="516B505B"/>
    <w:rsid w:val="51781A83"/>
    <w:rsid w:val="51867298"/>
    <w:rsid w:val="51894D69"/>
    <w:rsid w:val="518D21E1"/>
    <w:rsid w:val="51930297"/>
    <w:rsid w:val="51953936"/>
    <w:rsid w:val="519E116A"/>
    <w:rsid w:val="51A2793A"/>
    <w:rsid w:val="51A67E0E"/>
    <w:rsid w:val="51B30516"/>
    <w:rsid w:val="51BA0CB7"/>
    <w:rsid w:val="51C93676"/>
    <w:rsid w:val="51CB1F8D"/>
    <w:rsid w:val="51D129CA"/>
    <w:rsid w:val="51D93F8A"/>
    <w:rsid w:val="51E5046A"/>
    <w:rsid w:val="520E5E03"/>
    <w:rsid w:val="521B6C41"/>
    <w:rsid w:val="52272B85"/>
    <w:rsid w:val="523A62FD"/>
    <w:rsid w:val="523E09B5"/>
    <w:rsid w:val="5249247A"/>
    <w:rsid w:val="525466FB"/>
    <w:rsid w:val="525770DA"/>
    <w:rsid w:val="525777C6"/>
    <w:rsid w:val="525E17DE"/>
    <w:rsid w:val="52687B2A"/>
    <w:rsid w:val="526E0E82"/>
    <w:rsid w:val="52720C99"/>
    <w:rsid w:val="527901C6"/>
    <w:rsid w:val="5280722C"/>
    <w:rsid w:val="529A1C65"/>
    <w:rsid w:val="529F4F80"/>
    <w:rsid w:val="52A24532"/>
    <w:rsid w:val="52B3363A"/>
    <w:rsid w:val="52B825FC"/>
    <w:rsid w:val="52C4763C"/>
    <w:rsid w:val="52C51658"/>
    <w:rsid w:val="52C6080F"/>
    <w:rsid w:val="52CE44E6"/>
    <w:rsid w:val="52D10CEE"/>
    <w:rsid w:val="52DE691D"/>
    <w:rsid w:val="52E04D27"/>
    <w:rsid w:val="52ED0C96"/>
    <w:rsid w:val="53061721"/>
    <w:rsid w:val="530C0E6B"/>
    <w:rsid w:val="532C6DCC"/>
    <w:rsid w:val="532F77EA"/>
    <w:rsid w:val="5333550F"/>
    <w:rsid w:val="53364F5D"/>
    <w:rsid w:val="533933AA"/>
    <w:rsid w:val="533B7F54"/>
    <w:rsid w:val="5343196D"/>
    <w:rsid w:val="534C2A13"/>
    <w:rsid w:val="535009E1"/>
    <w:rsid w:val="5352474D"/>
    <w:rsid w:val="53542621"/>
    <w:rsid w:val="53557606"/>
    <w:rsid w:val="53562B0A"/>
    <w:rsid w:val="53650168"/>
    <w:rsid w:val="536C2A29"/>
    <w:rsid w:val="53766D1C"/>
    <w:rsid w:val="53836AFA"/>
    <w:rsid w:val="538859E4"/>
    <w:rsid w:val="538F5AF2"/>
    <w:rsid w:val="539C2D37"/>
    <w:rsid w:val="53A20FFA"/>
    <w:rsid w:val="53A233E4"/>
    <w:rsid w:val="53A94C48"/>
    <w:rsid w:val="53AA7BC7"/>
    <w:rsid w:val="53AE0779"/>
    <w:rsid w:val="53AE5EA5"/>
    <w:rsid w:val="53B00B1F"/>
    <w:rsid w:val="53B2409D"/>
    <w:rsid w:val="53BD6FA3"/>
    <w:rsid w:val="53D6247A"/>
    <w:rsid w:val="53DB3477"/>
    <w:rsid w:val="53E77CBF"/>
    <w:rsid w:val="53F8424E"/>
    <w:rsid w:val="53FE7128"/>
    <w:rsid w:val="54247F22"/>
    <w:rsid w:val="542C29CD"/>
    <w:rsid w:val="542E622C"/>
    <w:rsid w:val="542F1551"/>
    <w:rsid w:val="54307BEC"/>
    <w:rsid w:val="54381756"/>
    <w:rsid w:val="54596DB5"/>
    <w:rsid w:val="545A1EBF"/>
    <w:rsid w:val="54641104"/>
    <w:rsid w:val="54684287"/>
    <w:rsid w:val="54717CCC"/>
    <w:rsid w:val="54727478"/>
    <w:rsid w:val="549D0132"/>
    <w:rsid w:val="54B06F11"/>
    <w:rsid w:val="54B13782"/>
    <w:rsid w:val="54B56DF4"/>
    <w:rsid w:val="54B93943"/>
    <w:rsid w:val="54BE5578"/>
    <w:rsid w:val="54BF52B5"/>
    <w:rsid w:val="54C80954"/>
    <w:rsid w:val="54CB7F48"/>
    <w:rsid w:val="54D202CA"/>
    <w:rsid w:val="54D54E59"/>
    <w:rsid w:val="54DD41DB"/>
    <w:rsid w:val="54E43C38"/>
    <w:rsid w:val="54ED3D78"/>
    <w:rsid w:val="54F02D69"/>
    <w:rsid w:val="54F52BA3"/>
    <w:rsid w:val="54F54E04"/>
    <w:rsid w:val="54FE2A0C"/>
    <w:rsid w:val="550B4121"/>
    <w:rsid w:val="550D5CFC"/>
    <w:rsid w:val="55197997"/>
    <w:rsid w:val="551B356A"/>
    <w:rsid w:val="551E7C84"/>
    <w:rsid w:val="552A6B56"/>
    <w:rsid w:val="5532385A"/>
    <w:rsid w:val="553E1482"/>
    <w:rsid w:val="554748F2"/>
    <w:rsid w:val="554B5B7F"/>
    <w:rsid w:val="554D414C"/>
    <w:rsid w:val="554E7279"/>
    <w:rsid w:val="555523EA"/>
    <w:rsid w:val="55594FFB"/>
    <w:rsid w:val="555D2DFD"/>
    <w:rsid w:val="55637CEB"/>
    <w:rsid w:val="55716C7A"/>
    <w:rsid w:val="55757FB9"/>
    <w:rsid w:val="55884237"/>
    <w:rsid w:val="558C4029"/>
    <w:rsid w:val="558C7FAA"/>
    <w:rsid w:val="559C353C"/>
    <w:rsid w:val="55A03EEB"/>
    <w:rsid w:val="55A25EB7"/>
    <w:rsid w:val="55A82784"/>
    <w:rsid w:val="55A97512"/>
    <w:rsid w:val="55B63FD5"/>
    <w:rsid w:val="55C34E35"/>
    <w:rsid w:val="55C35A76"/>
    <w:rsid w:val="55D40743"/>
    <w:rsid w:val="55DD6F2A"/>
    <w:rsid w:val="55E8339E"/>
    <w:rsid w:val="55E92876"/>
    <w:rsid w:val="55F06771"/>
    <w:rsid w:val="56013311"/>
    <w:rsid w:val="56106284"/>
    <w:rsid w:val="562339AD"/>
    <w:rsid w:val="562A776B"/>
    <w:rsid w:val="5632642A"/>
    <w:rsid w:val="56375B61"/>
    <w:rsid w:val="56431AFC"/>
    <w:rsid w:val="56462238"/>
    <w:rsid w:val="564944F4"/>
    <w:rsid w:val="564C7B44"/>
    <w:rsid w:val="564E5820"/>
    <w:rsid w:val="565D2FED"/>
    <w:rsid w:val="56630C00"/>
    <w:rsid w:val="567739D2"/>
    <w:rsid w:val="5686536D"/>
    <w:rsid w:val="568B1DB1"/>
    <w:rsid w:val="568B2BAE"/>
    <w:rsid w:val="568B2D64"/>
    <w:rsid w:val="56A55214"/>
    <w:rsid w:val="56A67978"/>
    <w:rsid w:val="56AC63C5"/>
    <w:rsid w:val="56B60932"/>
    <w:rsid w:val="56B61F71"/>
    <w:rsid w:val="56C1700B"/>
    <w:rsid w:val="56D25618"/>
    <w:rsid w:val="56E84A97"/>
    <w:rsid w:val="57011F3E"/>
    <w:rsid w:val="5705646B"/>
    <w:rsid w:val="57060649"/>
    <w:rsid w:val="571A7A1F"/>
    <w:rsid w:val="57214480"/>
    <w:rsid w:val="5732705F"/>
    <w:rsid w:val="5734308D"/>
    <w:rsid w:val="57351D6F"/>
    <w:rsid w:val="5750195B"/>
    <w:rsid w:val="575556C1"/>
    <w:rsid w:val="576476C1"/>
    <w:rsid w:val="577B3337"/>
    <w:rsid w:val="579E7733"/>
    <w:rsid w:val="57A33734"/>
    <w:rsid w:val="57AB6ADD"/>
    <w:rsid w:val="57BD72A7"/>
    <w:rsid w:val="57BE5838"/>
    <w:rsid w:val="57C85610"/>
    <w:rsid w:val="57FC07D9"/>
    <w:rsid w:val="57FF6992"/>
    <w:rsid w:val="58021C8C"/>
    <w:rsid w:val="580D1F08"/>
    <w:rsid w:val="580F1B21"/>
    <w:rsid w:val="581B7E79"/>
    <w:rsid w:val="58276B45"/>
    <w:rsid w:val="582A1A99"/>
    <w:rsid w:val="58342AEA"/>
    <w:rsid w:val="583B3210"/>
    <w:rsid w:val="58403228"/>
    <w:rsid w:val="584D5888"/>
    <w:rsid w:val="58500F22"/>
    <w:rsid w:val="58587379"/>
    <w:rsid w:val="585D5BB3"/>
    <w:rsid w:val="585E3E88"/>
    <w:rsid w:val="5860518C"/>
    <w:rsid w:val="586D57A3"/>
    <w:rsid w:val="587917A0"/>
    <w:rsid w:val="587A4288"/>
    <w:rsid w:val="5880052B"/>
    <w:rsid w:val="58832326"/>
    <w:rsid w:val="589E5C53"/>
    <w:rsid w:val="58A92D69"/>
    <w:rsid w:val="58AC41AA"/>
    <w:rsid w:val="58AC7771"/>
    <w:rsid w:val="58AD27D9"/>
    <w:rsid w:val="58B169A2"/>
    <w:rsid w:val="58B9636C"/>
    <w:rsid w:val="58C03E54"/>
    <w:rsid w:val="58C37133"/>
    <w:rsid w:val="58C64786"/>
    <w:rsid w:val="58C93046"/>
    <w:rsid w:val="58CB483C"/>
    <w:rsid w:val="58CC44BC"/>
    <w:rsid w:val="58CF5440"/>
    <w:rsid w:val="58D36BCB"/>
    <w:rsid w:val="58D52BCD"/>
    <w:rsid w:val="58D66E1C"/>
    <w:rsid w:val="58D933E1"/>
    <w:rsid w:val="58E6349C"/>
    <w:rsid w:val="58ED7D90"/>
    <w:rsid w:val="58EF63EE"/>
    <w:rsid w:val="590317F0"/>
    <w:rsid w:val="590617BF"/>
    <w:rsid w:val="5907442B"/>
    <w:rsid w:val="59075000"/>
    <w:rsid w:val="5912595C"/>
    <w:rsid w:val="59200EBC"/>
    <w:rsid w:val="593559FD"/>
    <w:rsid w:val="593C1020"/>
    <w:rsid w:val="593C34D9"/>
    <w:rsid w:val="594079B2"/>
    <w:rsid w:val="5942577F"/>
    <w:rsid w:val="594A13D7"/>
    <w:rsid w:val="59524851"/>
    <w:rsid w:val="596B0B42"/>
    <w:rsid w:val="596B38A7"/>
    <w:rsid w:val="59700880"/>
    <w:rsid w:val="5972655B"/>
    <w:rsid w:val="5987482A"/>
    <w:rsid w:val="59904485"/>
    <w:rsid w:val="599C49A8"/>
    <w:rsid w:val="59A36725"/>
    <w:rsid w:val="59A85123"/>
    <w:rsid w:val="59B07FB1"/>
    <w:rsid w:val="59B13FF3"/>
    <w:rsid w:val="59B21BF9"/>
    <w:rsid w:val="59BB1BC6"/>
    <w:rsid w:val="59BB4EA3"/>
    <w:rsid w:val="59E9525B"/>
    <w:rsid w:val="59ED369A"/>
    <w:rsid w:val="5A011A3B"/>
    <w:rsid w:val="5A0E332F"/>
    <w:rsid w:val="5A3C0F08"/>
    <w:rsid w:val="5A3E5B83"/>
    <w:rsid w:val="5A4A0FD5"/>
    <w:rsid w:val="5A562A4C"/>
    <w:rsid w:val="5A5663A3"/>
    <w:rsid w:val="5A571746"/>
    <w:rsid w:val="5A5907CA"/>
    <w:rsid w:val="5A6253E3"/>
    <w:rsid w:val="5A8E6670"/>
    <w:rsid w:val="5A912613"/>
    <w:rsid w:val="5A9245E9"/>
    <w:rsid w:val="5A953D41"/>
    <w:rsid w:val="5A954F57"/>
    <w:rsid w:val="5A9E30EF"/>
    <w:rsid w:val="5ABC50F4"/>
    <w:rsid w:val="5AC20D89"/>
    <w:rsid w:val="5AC33874"/>
    <w:rsid w:val="5ACC4940"/>
    <w:rsid w:val="5ACF189B"/>
    <w:rsid w:val="5AD71465"/>
    <w:rsid w:val="5AD86A6D"/>
    <w:rsid w:val="5AEC14F6"/>
    <w:rsid w:val="5AF078D1"/>
    <w:rsid w:val="5AF124A4"/>
    <w:rsid w:val="5AF809EC"/>
    <w:rsid w:val="5B137BF9"/>
    <w:rsid w:val="5B141085"/>
    <w:rsid w:val="5B220213"/>
    <w:rsid w:val="5B28192B"/>
    <w:rsid w:val="5B2E7D32"/>
    <w:rsid w:val="5B402461"/>
    <w:rsid w:val="5B600DA9"/>
    <w:rsid w:val="5B631C92"/>
    <w:rsid w:val="5B66707B"/>
    <w:rsid w:val="5B673066"/>
    <w:rsid w:val="5B6F4CBD"/>
    <w:rsid w:val="5B785E83"/>
    <w:rsid w:val="5B7C1CD1"/>
    <w:rsid w:val="5B9251EF"/>
    <w:rsid w:val="5BA7684F"/>
    <w:rsid w:val="5BAB5BC4"/>
    <w:rsid w:val="5BB20B74"/>
    <w:rsid w:val="5BB85FE1"/>
    <w:rsid w:val="5BC677D8"/>
    <w:rsid w:val="5BC71659"/>
    <w:rsid w:val="5BE26FCC"/>
    <w:rsid w:val="5BE96C97"/>
    <w:rsid w:val="5BEB0120"/>
    <w:rsid w:val="5C057E77"/>
    <w:rsid w:val="5C097C4E"/>
    <w:rsid w:val="5C1A3A93"/>
    <w:rsid w:val="5C1E1E5E"/>
    <w:rsid w:val="5C235386"/>
    <w:rsid w:val="5C3B6CFC"/>
    <w:rsid w:val="5C423F4D"/>
    <w:rsid w:val="5C487355"/>
    <w:rsid w:val="5C4C2CF4"/>
    <w:rsid w:val="5C533F09"/>
    <w:rsid w:val="5C5400D3"/>
    <w:rsid w:val="5C562457"/>
    <w:rsid w:val="5C6B1600"/>
    <w:rsid w:val="5C7D70D1"/>
    <w:rsid w:val="5C8542A8"/>
    <w:rsid w:val="5C8749DF"/>
    <w:rsid w:val="5C937232"/>
    <w:rsid w:val="5C9664F6"/>
    <w:rsid w:val="5C9D292C"/>
    <w:rsid w:val="5C9D4D30"/>
    <w:rsid w:val="5CA1479B"/>
    <w:rsid w:val="5CA6294E"/>
    <w:rsid w:val="5CB0091F"/>
    <w:rsid w:val="5CB514F3"/>
    <w:rsid w:val="5CB60B44"/>
    <w:rsid w:val="5CC340BC"/>
    <w:rsid w:val="5CC85FC5"/>
    <w:rsid w:val="5CDB3358"/>
    <w:rsid w:val="5CED4E0C"/>
    <w:rsid w:val="5CFD3E7C"/>
    <w:rsid w:val="5D034EE9"/>
    <w:rsid w:val="5D0366E8"/>
    <w:rsid w:val="5D044FED"/>
    <w:rsid w:val="5D0A06B6"/>
    <w:rsid w:val="5D0F1FBD"/>
    <w:rsid w:val="5D1307E8"/>
    <w:rsid w:val="5D174E5B"/>
    <w:rsid w:val="5D212A05"/>
    <w:rsid w:val="5D2F4802"/>
    <w:rsid w:val="5D3444E6"/>
    <w:rsid w:val="5D3F0BDF"/>
    <w:rsid w:val="5D48142C"/>
    <w:rsid w:val="5D5B7098"/>
    <w:rsid w:val="5D5E00BA"/>
    <w:rsid w:val="5D620742"/>
    <w:rsid w:val="5D634782"/>
    <w:rsid w:val="5D693F0E"/>
    <w:rsid w:val="5D6E1B86"/>
    <w:rsid w:val="5D790367"/>
    <w:rsid w:val="5D7B386B"/>
    <w:rsid w:val="5D7C3AA3"/>
    <w:rsid w:val="5D7C7286"/>
    <w:rsid w:val="5D8A0472"/>
    <w:rsid w:val="5D8A2CFF"/>
    <w:rsid w:val="5D960EE9"/>
    <w:rsid w:val="5D993AED"/>
    <w:rsid w:val="5D9A0CFA"/>
    <w:rsid w:val="5DA35DEF"/>
    <w:rsid w:val="5DB052AA"/>
    <w:rsid w:val="5DBF2F00"/>
    <w:rsid w:val="5DD14397"/>
    <w:rsid w:val="5DD3123F"/>
    <w:rsid w:val="5DD71C7A"/>
    <w:rsid w:val="5DD734EC"/>
    <w:rsid w:val="5DD87C99"/>
    <w:rsid w:val="5DDD641A"/>
    <w:rsid w:val="5DEC05A1"/>
    <w:rsid w:val="5DFD51DB"/>
    <w:rsid w:val="5E040CAD"/>
    <w:rsid w:val="5E0B0848"/>
    <w:rsid w:val="5E1D4A67"/>
    <w:rsid w:val="5E237029"/>
    <w:rsid w:val="5E2D4789"/>
    <w:rsid w:val="5E3A3BD1"/>
    <w:rsid w:val="5E4D7446"/>
    <w:rsid w:val="5E5203B8"/>
    <w:rsid w:val="5E654AED"/>
    <w:rsid w:val="5E6A5399"/>
    <w:rsid w:val="5E71373F"/>
    <w:rsid w:val="5E717191"/>
    <w:rsid w:val="5E734892"/>
    <w:rsid w:val="5E830708"/>
    <w:rsid w:val="5E831398"/>
    <w:rsid w:val="5E85633A"/>
    <w:rsid w:val="5E921A45"/>
    <w:rsid w:val="5E975993"/>
    <w:rsid w:val="5EB51FDE"/>
    <w:rsid w:val="5EBA4472"/>
    <w:rsid w:val="5EC4038A"/>
    <w:rsid w:val="5ECA3D37"/>
    <w:rsid w:val="5EE153F8"/>
    <w:rsid w:val="5EED7893"/>
    <w:rsid w:val="5F021E8D"/>
    <w:rsid w:val="5F0842F6"/>
    <w:rsid w:val="5F0A3A61"/>
    <w:rsid w:val="5F683B6E"/>
    <w:rsid w:val="5F742691"/>
    <w:rsid w:val="5F8416C1"/>
    <w:rsid w:val="5F875C0C"/>
    <w:rsid w:val="5F8B03DB"/>
    <w:rsid w:val="5F8F0B9E"/>
    <w:rsid w:val="5F8F267A"/>
    <w:rsid w:val="5F9E5F96"/>
    <w:rsid w:val="5FB94C48"/>
    <w:rsid w:val="5FCE4FD3"/>
    <w:rsid w:val="5FED2DAB"/>
    <w:rsid w:val="5FF37587"/>
    <w:rsid w:val="5FFE57B7"/>
    <w:rsid w:val="60060CD5"/>
    <w:rsid w:val="600762FF"/>
    <w:rsid w:val="60085AA3"/>
    <w:rsid w:val="600C34C4"/>
    <w:rsid w:val="600D1D0C"/>
    <w:rsid w:val="600E362B"/>
    <w:rsid w:val="60183392"/>
    <w:rsid w:val="601A4CB1"/>
    <w:rsid w:val="602C236D"/>
    <w:rsid w:val="603967D7"/>
    <w:rsid w:val="603D3325"/>
    <w:rsid w:val="60470CE3"/>
    <w:rsid w:val="604A6A1F"/>
    <w:rsid w:val="605C3003"/>
    <w:rsid w:val="60641A9C"/>
    <w:rsid w:val="60673C40"/>
    <w:rsid w:val="606A52D4"/>
    <w:rsid w:val="607A029B"/>
    <w:rsid w:val="607C3753"/>
    <w:rsid w:val="608043BB"/>
    <w:rsid w:val="608761E2"/>
    <w:rsid w:val="608C1EF4"/>
    <w:rsid w:val="608D1D4E"/>
    <w:rsid w:val="6092569C"/>
    <w:rsid w:val="60AD0357"/>
    <w:rsid w:val="60AF7434"/>
    <w:rsid w:val="60B004BE"/>
    <w:rsid w:val="60BA604C"/>
    <w:rsid w:val="60C30855"/>
    <w:rsid w:val="60C338B1"/>
    <w:rsid w:val="60D35C0D"/>
    <w:rsid w:val="60D4742F"/>
    <w:rsid w:val="60D95276"/>
    <w:rsid w:val="60E06DEB"/>
    <w:rsid w:val="60E51841"/>
    <w:rsid w:val="60E53887"/>
    <w:rsid w:val="60F129EA"/>
    <w:rsid w:val="60F27FEC"/>
    <w:rsid w:val="60F3499D"/>
    <w:rsid w:val="61063DBC"/>
    <w:rsid w:val="61110088"/>
    <w:rsid w:val="611543D6"/>
    <w:rsid w:val="61421EFD"/>
    <w:rsid w:val="6144656F"/>
    <w:rsid w:val="61486149"/>
    <w:rsid w:val="615C5041"/>
    <w:rsid w:val="61676636"/>
    <w:rsid w:val="6182260C"/>
    <w:rsid w:val="61830A1F"/>
    <w:rsid w:val="618C1883"/>
    <w:rsid w:val="619117A1"/>
    <w:rsid w:val="61972EF8"/>
    <w:rsid w:val="61C60977"/>
    <w:rsid w:val="61D37C8C"/>
    <w:rsid w:val="61D43A2B"/>
    <w:rsid w:val="61D61317"/>
    <w:rsid w:val="61DB091C"/>
    <w:rsid w:val="61DF3A9F"/>
    <w:rsid w:val="61F112FF"/>
    <w:rsid w:val="61FF316E"/>
    <w:rsid w:val="620F4BAD"/>
    <w:rsid w:val="621542CB"/>
    <w:rsid w:val="621A2B05"/>
    <w:rsid w:val="622D59F2"/>
    <w:rsid w:val="624263A2"/>
    <w:rsid w:val="625272C3"/>
    <w:rsid w:val="625D5DC9"/>
    <w:rsid w:val="62645FB9"/>
    <w:rsid w:val="62715337"/>
    <w:rsid w:val="6280204D"/>
    <w:rsid w:val="62820D2A"/>
    <w:rsid w:val="6290769B"/>
    <w:rsid w:val="62943D08"/>
    <w:rsid w:val="62A411F8"/>
    <w:rsid w:val="62BA7A46"/>
    <w:rsid w:val="62C376AC"/>
    <w:rsid w:val="62CE13CB"/>
    <w:rsid w:val="62D2197B"/>
    <w:rsid w:val="62D92B37"/>
    <w:rsid w:val="62E97D27"/>
    <w:rsid w:val="62F32F37"/>
    <w:rsid w:val="62F6011A"/>
    <w:rsid w:val="632624E0"/>
    <w:rsid w:val="6327422B"/>
    <w:rsid w:val="632D369F"/>
    <w:rsid w:val="6333152F"/>
    <w:rsid w:val="633B249F"/>
    <w:rsid w:val="634D3C76"/>
    <w:rsid w:val="634D7789"/>
    <w:rsid w:val="63552D76"/>
    <w:rsid w:val="6359778B"/>
    <w:rsid w:val="635B63E3"/>
    <w:rsid w:val="63671260"/>
    <w:rsid w:val="63776102"/>
    <w:rsid w:val="63783BC0"/>
    <w:rsid w:val="637F1AEF"/>
    <w:rsid w:val="638C3395"/>
    <w:rsid w:val="639623D1"/>
    <w:rsid w:val="639E76D8"/>
    <w:rsid w:val="639F3A80"/>
    <w:rsid w:val="63A14DDA"/>
    <w:rsid w:val="63A6046B"/>
    <w:rsid w:val="63B159B9"/>
    <w:rsid w:val="63BA3154"/>
    <w:rsid w:val="63BD710D"/>
    <w:rsid w:val="63CA2E8B"/>
    <w:rsid w:val="63E333C1"/>
    <w:rsid w:val="63F47D2A"/>
    <w:rsid w:val="63FE2D33"/>
    <w:rsid w:val="640E30B5"/>
    <w:rsid w:val="64103F57"/>
    <w:rsid w:val="64113810"/>
    <w:rsid w:val="64264A79"/>
    <w:rsid w:val="64304E58"/>
    <w:rsid w:val="64311867"/>
    <w:rsid w:val="64391ED3"/>
    <w:rsid w:val="643C409B"/>
    <w:rsid w:val="6445632E"/>
    <w:rsid w:val="644A3F19"/>
    <w:rsid w:val="64585750"/>
    <w:rsid w:val="645E7889"/>
    <w:rsid w:val="64623C90"/>
    <w:rsid w:val="647D566C"/>
    <w:rsid w:val="64854B94"/>
    <w:rsid w:val="648939AA"/>
    <w:rsid w:val="648F468F"/>
    <w:rsid w:val="649B1AC2"/>
    <w:rsid w:val="64A7467B"/>
    <w:rsid w:val="64C86505"/>
    <w:rsid w:val="64E657A5"/>
    <w:rsid w:val="64FE700F"/>
    <w:rsid w:val="6500327F"/>
    <w:rsid w:val="6506609B"/>
    <w:rsid w:val="65083216"/>
    <w:rsid w:val="65084E45"/>
    <w:rsid w:val="652D418B"/>
    <w:rsid w:val="653C3417"/>
    <w:rsid w:val="65460728"/>
    <w:rsid w:val="654B153D"/>
    <w:rsid w:val="654D3BF2"/>
    <w:rsid w:val="656868EF"/>
    <w:rsid w:val="657A608F"/>
    <w:rsid w:val="657D778E"/>
    <w:rsid w:val="65822810"/>
    <w:rsid w:val="65870C45"/>
    <w:rsid w:val="65AA6346"/>
    <w:rsid w:val="65AC5BF0"/>
    <w:rsid w:val="65B56C47"/>
    <w:rsid w:val="65B8262E"/>
    <w:rsid w:val="65BC15EE"/>
    <w:rsid w:val="65BD59F8"/>
    <w:rsid w:val="65C74F5E"/>
    <w:rsid w:val="65D23D59"/>
    <w:rsid w:val="65D4773F"/>
    <w:rsid w:val="65DC5939"/>
    <w:rsid w:val="65DC7985"/>
    <w:rsid w:val="65E26649"/>
    <w:rsid w:val="65F14641"/>
    <w:rsid w:val="65F17C39"/>
    <w:rsid w:val="65F5655C"/>
    <w:rsid w:val="65FC0C8E"/>
    <w:rsid w:val="65FF006B"/>
    <w:rsid w:val="66052F43"/>
    <w:rsid w:val="6609487E"/>
    <w:rsid w:val="661D25CE"/>
    <w:rsid w:val="66206CF2"/>
    <w:rsid w:val="66265846"/>
    <w:rsid w:val="66287C9C"/>
    <w:rsid w:val="663366CF"/>
    <w:rsid w:val="66407F26"/>
    <w:rsid w:val="664805B8"/>
    <w:rsid w:val="664F7AE6"/>
    <w:rsid w:val="66566122"/>
    <w:rsid w:val="665B55EA"/>
    <w:rsid w:val="66655F85"/>
    <w:rsid w:val="666D1BC7"/>
    <w:rsid w:val="667C7AEC"/>
    <w:rsid w:val="66984358"/>
    <w:rsid w:val="669B7C76"/>
    <w:rsid w:val="66A200F8"/>
    <w:rsid w:val="66A30EC2"/>
    <w:rsid w:val="66AA4BA8"/>
    <w:rsid w:val="66C955BD"/>
    <w:rsid w:val="66D31898"/>
    <w:rsid w:val="66DC317D"/>
    <w:rsid w:val="66EB4314"/>
    <w:rsid w:val="66FF444B"/>
    <w:rsid w:val="670C6D27"/>
    <w:rsid w:val="670D579F"/>
    <w:rsid w:val="670D67CE"/>
    <w:rsid w:val="67105BAB"/>
    <w:rsid w:val="67127AC7"/>
    <w:rsid w:val="671B1631"/>
    <w:rsid w:val="672736CE"/>
    <w:rsid w:val="67302DC3"/>
    <w:rsid w:val="673D5930"/>
    <w:rsid w:val="674318B2"/>
    <w:rsid w:val="674D4B22"/>
    <w:rsid w:val="67527824"/>
    <w:rsid w:val="67570422"/>
    <w:rsid w:val="675D31B4"/>
    <w:rsid w:val="67686C2C"/>
    <w:rsid w:val="676D2F4B"/>
    <w:rsid w:val="677A17D2"/>
    <w:rsid w:val="677A266A"/>
    <w:rsid w:val="677C1A81"/>
    <w:rsid w:val="67B163D1"/>
    <w:rsid w:val="67D365F8"/>
    <w:rsid w:val="67E60BCD"/>
    <w:rsid w:val="67EE3D0F"/>
    <w:rsid w:val="67F45538"/>
    <w:rsid w:val="67F70717"/>
    <w:rsid w:val="680239EB"/>
    <w:rsid w:val="680722DA"/>
    <w:rsid w:val="68154533"/>
    <w:rsid w:val="681938D1"/>
    <w:rsid w:val="681F71B3"/>
    <w:rsid w:val="682211D1"/>
    <w:rsid w:val="682A2E18"/>
    <w:rsid w:val="68523B9A"/>
    <w:rsid w:val="685C6395"/>
    <w:rsid w:val="68607778"/>
    <w:rsid w:val="686318DD"/>
    <w:rsid w:val="686342D0"/>
    <w:rsid w:val="68635145"/>
    <w:rsid w:val="68653C8A"/>
    <w:rsid w:val="686F0DE5"/>
    <w:rsid w:val="687C00FB"/>
    <w:rsid w:val="687F607E"/>
    <w:rsid w:val="688E25E2"/>
    <w:rsid w:val="68A34C5C"/>
    <w:rsid w:val="68A42935"/>
    <w:rsid w:val="68B63CF9"/>
    <w:rsid w:val="68CA3183"/>
    <w:rsid w:val="68D15606"/>
    <w:rsid w:val="68E24981"/>
    <w:rsid w:val="68E31B32"/>
    <w:rsid w:val="68F73307"/>
    <w:rsid w:val="69123F86"/>
    <w:rsid w:val="691C3525"/>
    <w:rsid w:val="69216128"/>
    <w:rsid w:val="69280874"/>
    <w:rsid w:val="693811D0"/>
    <w:rsid w:val="693A417E"/>
    <w:rsid w:val="69430C28"/>
    <w:rsid w:val="694F4A5E"/>
    <w:rsid w:val="695D6B21"/>
    <w:rsid w:val="695E22F2"/>
    <w:rsid w:val="69611EE7"/>
    <w:rsid w:val="69667335"/>
    <w:rsid w:val="696C708E"/>
    <w:rsid w:val="696F4D5D"/>
    <w:rsid w:val="69722623"/>
    <w:rsid w:val="69850877"/>
    <w:rsid w:val="698C13C5"/>
    <w:rsid w:val="69AC040E"/>
    <w:rsid w:val="69C8265A"/>
    <w:rsid w:val="69D94209"/>
    <w:rsid w:val="69DC44FD"/>
    <w:rsid w:val="69EA1A07"/>
    <w:rsid w:val="69EE7649"/>
    <w:rsid w:val="69F0745A"/>
    <w:rsid w:val="6A1141CC"/>
    <w:rsid w:val="6A151116"/>
    <w:rsid w:val="6A1D59EC"/>
    <w:rsid w:val="6A247F72"/>
    <w:rsid w:val="6A2E7AC1"/>
    <w:rsid w:val="6A3E2393"/>
    <w:rsid w:val="6A435B92"/>
    <w:rsid w:val="6A444DB8"/>
    <w:rsid w:val="6A4D4828"/>
    <w:rsid w:val="6A516AC3"/>
    <w:rsid w:val="6A5303BA"/>
    <w:rsid w:val="6A5A54D2"/>
    <w:rsid w:val="6A67513D"/>
    <w:rsid w:val="6A677080"/>
    <w:rsid w:val="6A696621"/>
    <w:rsid w:val="6A711183"/>
    <w:rsid w:val="6A762B91"/>
    <w:rsid w:val="6A7B4B9C"/>
    <w:rsid w:val="6A922C56"/>
    <w:rsid w:val="6AAF014C"/>
    <w:rsid w:val="6ACB082B"/>
    <w:rsid w:val="6AD3247E"/>
    <w:rsid w:val="6AD71895"/>
    <w:rsid w:val="6AE308A6"/>
    <w:rsid w:val="6B046820"/>
    <w:rsid w:val="6B156AE0"/>
    <w:rsid w:val="6B1D6FAB"/>
    <w:rsid w:val="6B287FBE"/>
    <w:rsid w:val="6B2B0EFD"/>
    <w:rsid w:val="6B2C13E4"/>
    <w:rsid w:val="6B2F19CE"/>
    <w:rsid w:val="6B2F7A60"/>
    <w:rsid w:val="6B371AA7"/>
    <w:rsid w:val="6B3C43FB"/>
    <w:rsid w:val="6B47676D"/>
    <w:rsid w:val="6B4B0A4C"/>
    <w:rsid w:val="6B50310B"/>
    <w:rsid w:val="6B5045E2"/>
    <w:rsid w:val="6B63243A"/>
    <w:rsid w:val="6B681DC7"/>
    <w:rsid w:val="6B736A2E"/>
    <w:rsid w:val="6B7C51E5"/>
    <w:rsid w:val="6B8170D6"/>
    <w:rsid w:val="6B884219"/>
    <w:rsid w:val="6B90781F"/>
    <w:rsid w:val="6BA9194F"/>
    <w:rsid w:val="6BB82B1F"/>
    <w:rsid w:val="6BCC3362"/>
    <w:rsid w:val="6BE402C8"/>
    <w:rsid w:val="6BE727F5"/>
    <w:rsid w:val="6BE83A33"/>
    <w:rsid w:val="6BFD6EE1"/>
    <w:rsid w:val="6C0A3F68"/>
    <w:rsid w:val="6C155534"/>
    <w:rsid w:val="6C1B5387"/>
    <w:rsid w:val="6C240DF3"/>
    <w:rsid w:val="6C45610F"/>
    <w:rsid w:val="6C532E82"/>
    <w:rsid w:val="6C59472D"/>
    <w:rsid w:val="6C5A4564"/>
    <w:rsid w:val="6C603744"/>
    <w:rsid w:val="6C637CCF"/>
    <w:rsid w:val="6C6F3E1F"/>
    <w:rsid w:val="6C7802EB"/>
    <w:rsid w:val="6C79488C"/>
    <w:rsid w:val="6C7C3C95"/>
    <w:rsid w:val="6C7E2A0A"/>
    <w:rsid w:val="6C7E3E0E"/>
    <w:rsid w:val="6C89456C"/>
    <w:rsid w:val="6C973076"/>
    <w:rsid w:val="6C9F59FF"/>
    <w:rsid w:val="6CA20D5B"/>
    <w:rsid w:val="6CC0730F"/>
    <w:rsid w:val="6CCD2A39"/>
    <w:rsid w:val="6CD63FB3"/>
    <w:rsid w:val="6CD742CC"/>
    <w:rsid w:val="6CF952B4"/>
    <w:rsid w:val="6D056EA6"/>
    <w:rsid w:val="6D06056F"/>
    <w:rsid w:val="6D221E52"/>
    <w:rsid w:val="6D227835"/>
    <w:rsid w:val="6D2B0A2A"/>
    <w:rsid w:val="6D3C6626"/>
    <w:rsid w:val="6D4270CF"/>
    <w:rsid w:val="6D4B0E7D"/>
    <w:rsid w:val="6D5D0DB5"/>
    <w:rsid w:val="6D6855B1"/>
    <w:rsid w:val="6D7B4AB7"/>
    <w:rsid w:val="6D842A6D"/>
    <w:rsid w:val="6D853DB6"/>
    <w:rsid w:val="6D89784B"/>
    <w:rsid w:val="6D9E0566"/>
    <w:rsid w:val="6DB039D2"/>
    <w:rsid w:val="6DC1541F"/>
    <w:rsid w:val="6DDC72CD"/>
    <w:rsid w:val="6DED3A19"/>
    <w:rsid w:val="6DF43BD4"/>
    <w:rsid w:val="6E000622"/>
    <w:rsid w:val="6E0C1649"/>
    <w:rsid w:val="6E0E1FAB"/>
    <w:rsid w:val="6E2143FB"/>
    <w:rsid w:val="6E2C6EBD"/>
    <w:rsid w:val="6E317378"/>
    <w:rsid w:val="6E334459"/>
    <w:rsid w:val="6E3C00E0"/>
    <w:rsid w:val="6E4215C6"/>
    <w:rsid w:val="6E4B0158"/>
    <w:rsid w:val="6E4D611F"/>
    <w:rsid w:val="6E4F3D89"/>
    <w:rsid w:val="6E533755"/>
    <w:rsid w:val="6E5413AD"/>
    <w:rsid w:val="6E567C9E"/>
    <w:rsid w:val="6E580E15"/>
    <w:rsid w:val="6E5B692B"/>
    <w:rsid w:val="6E5D796A"/>
    <w:rsid w:val="6E635028"/>
    <w:rsid w:val="6E636A71"/>
    <w:rsid w:val="6E685B0A"/>
    <w:rsid w:val="6E695F11"/>
    <w:rsid w:val="6E73404A"/>
    <w:rsid w:val="6E7355AA"/>
    <w:rsid w:val="6E7E3BB7"/>
    <w:rsid w:val="6E7E49A7"/>
    <w:rsid w:val="6E857922"/>
    <w:rsid w:val="6E920B5B"/>
    <w:rsid w:val="6E990B16"/>
    <w:rsid w:val="6E9A3775"/>
    <w:rsid w:val="6EA10310"/>
    <w:rsid w:val="6EA50F15"/>
    <w:rsid w:val="6EB032D8"/>
    <w:rsid w:val="6EB169D3"/>
    <w:rsid w:val="6EB829B1"/>
    <w:rsid w:val="6EB978A9"/>
    <w:rsid w:val="6EBB53B4"/>
    <w:rsid w:val="6EC3663C"/>
    <w:rsid w:val="6EC42765"/>
    <w:rsid w:val="6ECC3A24"/>
    <w:rsid w:val="6ED1305E"/>
    <w:rsid w:val="6ED86D3E"/>
    <w:rsid w:val="6EDD143D"/>
    <w:rsid w:val="6EDD7A49"/>
    <w:rsid w:val="6EDE559B"/>
    <w:rsid w:val="6EE9744F"/>
    <w:rsid w:val="6EEC3F7C"/>
    <w:rsid w:val="6EFE1485"/>
    <w:rsid w:val="6F031F8E"/>
    <w:rsid w:val="6F0425B3"/>
    <w:rsid w:val="6F0D382C"/>
    <w:rsid w:val="6F1859D0"/>
    <w:rsid w:val="6F1B27CA"/>
    <w:rsid w:val="6F2632E8"/>
    <w:rsid w:val="6F30363A"/>
    <w:rsid w:val="6F3316E5"/>
    <w:rsid w:val="6F3F40F9"/>
    <w:rsid w:val="6F6F14E1"/>
    <w:rsid w:val="6F85366A"/>
    <w:rsid w:val="6F8F0A2C"/>
    <w:rsid w:val="6F90702F"/>
    <w:rsid w:val="6FA629D4"/>
    <w:rsid w:val="6FA75ADB"/>
    <w:rsid w:val="6FB744A4"/>
    <w:rsid w:val="6FB77ED4"/>
    <w:rsid w:val="6FBD4D2F"/>
    <w:rsid w:val="6FBE54C9"/>
    <w:rsid w:val="6FBF4710"/>
    <w:rsid w:val="6FC27371"/>
    <w:rsid w:val="6FC9109F"/>
    <w:rsid w:val="6FC973F7"/>
    <w:rsid w:val="6FD222C4"/>
    <w:rsid w:val="6FDB518F"/>
    <w:rsid w:val="6FE529ED"/>
    <w:rsid w:val="6FF1412A"/>
    <w:rsid w:val="6FF440BA"/>
    <w:rsid w:val="6FF50DA5"/>
    <w:rsid w:val="6FF733A7"/>
    <w:rsid w:val="6FF93435"/>
    <w:rsid w:val="70003DD9"/>
    <w:rsid w:val="70072915"/>
    <w:rsid w:val="70172090"/>
    <w:rsid w:val="70195E88"/>
    <w:rsid w:val="701D43BA"/>
    <w:rsid w:val="702728D9"/>
    <w:rsid w:val="702A2124"/>
    <w:rsid w:val="702B6F43"/>
    <w:rsid w:val="7032079E"/>
    <w:rsid w:val="703C186A"/>
    <w:rsid w:val="70570007"/>
    <w:rsid w:val="706A537D"/>
    <w:rsid w:val="70776C11"/>
    <w:rsid w:val="70822BAD"/>
    <w:rsid w:val="70836140"/>
    <w:rsid w:val="708746BC"/>
    <w:rsid w:val="708F7F54"/>
    <w:rsid w:val="709A5ECC"/>
    <w:rsid w:val="709E3D85"/>
    <w:rsid w:val="70A63EDD"/>
    <w:rsid w:val="70AC660B"/>
    <w:rsid w:val="70AE58F4"/>
    <w:rsid w:val="70B17138"/>
    <w:rsid w:val="70BB2EF0"/>
    <w:rsid w:val="70BC2801"/>
    <w:rsid w:val="70C6646C"/>
    <w:rsid w:val="70FC2D1E"/>
    <w:rsid w:val="71015D6B"/>
    <w:rsid w:val="711059F7"/>
    <w:rsid w:val="71151975"/>
    <w:rsid w:val="71151F93"/>
    <w:rsid w:val="713118C3"/>
    <w:rsid w:val="7132157F"/>
    <w:rsid w:val="71336A65"/>
    <w:rsid w:val="713B5291"/>
    <w:rsid w:val="71545B37"/>
    <w:rsid w:val="71573E01"/>
    <w:rsid w:val="71702748"/>
    <w:rsid w:val="717D79A1"/>
    <w:rsid w:val="717F0007"/>
    <w:rsid w:val="71867894"/>
    <w:rsid w:val="7192695B"/>
    <w:rsid w:val="71932861"/>
    <w:rsid w:val="719F7A78"/>
    <w:rsid w:val="71B91FFF"/>
    <w:rsid w:val="71C7540C"/>
    <w:rsid w:val="71F64A63"/>
    <w:rsid w:val="71F870B8"/>
    <w:rsid w:val="72021233"/>
    <w:rsid w:val="720B2A1D"/>
    <w:rsid w:val="72174817"/>
    <w:rsid w:val="7231040E"/>
    <w:rsid w:val="72430D76"/>
    <w:rsid w:val="72445E9B"/>
    <w:rsid w:val="72671940"/>
    <w:rsid w:val="727C422C"/>
    <w:rsid w:val="7292045A"/>
    <w:rsid w:val="7297435E"/>
    <w:rsid w:val="72974DBE"/>
    <w:rsid w:val="72976A26"/>
    <w:rsid w:val="72A20C20"/>
    <w:rsid w:val="72AC5E95"/>
    <w:rsid w:val="72AE20F2"/>
    <w:rsid w:val="72BC63B0"/>
    <w:rsid w:val="72BF1FCE"/>
    <w:rsid w:val="72C13ED7"/>
    <w:rsid w:val="72CF1AC7"/>
    <w:rsid w:val="72DE6817"/>
    <w:rsid w:val="72E42AFA"/>
    <w:rsid w:val="72E671B2"/>
    <w:rsid w:val="72E75711"/>
    <w:rsid w:val="72E85578"/>
    <w:rsid w:val="72EB4466"/>
    <w:rsid w:val="72F24178"/>
    <w:rsid w:val="72F252BA"/>
    <w:rsid w:val="72F273C1"/>
    <w:rsid w:val="72F92C7F"/>
    <w:rsid w:val="72FD426E"/>
    <w:rsid w:val="73010AB9"/>
    <w:rsid w:val="73043CFC"/>
    <w:rsid w:val="73161882"/>
    <w:rsid w:val="731A4C66"/>
    <w:rsid w:val="732C334F"/>
    <w:rsid w:val="73494287"/>
    <w:rsid w:val="734D52BA"/>
    <w:rsid w:val="734F0C79"/>
    <w:rsid w:val="734F4185"/>
    <w:rsid w:val="73520620"/>
    <w:rsid w:val="736249E3"/>
    <w:rsid w:val="7363274A"/>
    <w:rsid w:val="736645DE"/>
    <w:rsid w:val="73691A4A"/>
    <w:rsid w:val="737807F3"/>
    <w:rsid w:val="7388529A"/>
    <w:rsid w:val="738A6895"/>
    <w:rsid w:val="73AE76D8"/>
    <w:rsid w:val="73B04FAB"/>
    <w:rsid w:val="73BC7089"/>
    <w:rsid w:val="73BE7067"/>
    <w:rsid w:val="73C81496"/>
    <w:rsid w:val="73DD2316"/>
    <w:rsid w:val="73E52294"/>
    <w:rsid w:val="73EF457F"/>
    <w:rsid w:val="73F26EC8"/>
    <w:rsid w:val="73F57E4D"/>
    <w:rsid w:val="73FF2D64"/>
    <w:rsid w:val="7402235F"/>
    <w:rsid w:val="74137154"/>
    <w:rsid w:val="741A4286"/>
    <w:rsid w:val="74204D84"/>
    <w:rsid w:val="74257F79"/>
    <w:rsid w:val="74273820"/>
    <w:rsid w:val="7427471C"/>
    <w:rsid w:val="74277098"/>
    <w:rsid w:val="742D7FA7"/>
    <w:rsid w:val="74355B0B"/>
    <w:rsid w:val="743C7157"/>
    <w:rsid w:val="74416F54"/>
    <w:rsid w:val="744B354F"/>
    <w:rsid w:val="7450294E"/>
    <w:rsid w:val="745E5245"/>
    <w:rsid w:val="74615D25"/>
    <w:rsid w:val="746B732F"/>
    <w:rsid w:val="746E18CB"/>
    <w:rsid w:val="7485000A"/>
    <w:rsid w:val="74885F0B"/>
    <w:rsid w:val="748D52FA"/>
    <w:rsid w:val="74993216"/>
    <w:rsid w:val="749A7670"/>
    <w:rsid w:val="74A94EAA"/>
    <w:rsid w:val="74B44784"/>
    <w:rsid w:val="74B808BF"/>
    <w:rsid w:val="74C9379E"/>
    <w:rsid w:val="74CB5BC5"/>
    <w:rsid w:val="74DE41A5"/>
    <w:rsid w:val="74ED6DC4"/>
    <w:rsid w:val="75084E8F"/>
    <w:rsid w:val="750F0599"/>
    <w:rsid w:val="751122B7"/>
    <w:rsid w:val="75137DDD"/>
    <w:rsid w:val="75171229"/>
    <w:rsid w:val="751F214A"/>
    <w:rsid w:val="75202656"/>
    <w:rsid w:val="753C7073"/>
    <w:rsid w:val="7540434E"/>
    <w:rsid w:val="755743A4"/>
    <w:rsid w:val="75632490"/>
    <w:rsid w:val="75752B04"/>
    <w:rsid w:val="758910BB"/>
    <w:rsid w:val="75955DA9"/>
    <w:rsid w:val="75977910"/>
    <w:rsid w:val="759F2A35"/>
    <w:rsid w:val="75AB15F6"/>
    <w:rsid w:val="75B037AB"/>
    <w:rsid w:val="75B15C41"/>
    <w:rsid w:val="75C30761"/>
    <w:rsid w:val="75C54845"/>
    <w:rsid w:val="75C76C47"/>
    <w:rsid w:val="75D12923"/>
    <w:rsid w:val="75E52DCA"/>
    <w:rsid w:val="75EA364B"/>
    <w:rsid w:val="75F20996"/>
    <w:rsid w:val="75F30166"/>
    <w:rsid w:val="75F96973"/>
    <w:rsid w:val="75FB6152"/>
    <w:rsid w:val="75FE5A56"/>
    <w:rsid w:val="760E1952"/>
    <w:rsid w:val="76123E1D"/>
    <w:rsid w:val="762A17C0"/>
    <w:rsid w:val="76425118"/>
    <w:rsid w:val="764838B9"/>
    <w:rsid w:val="764B15DA"/>
    <w:rsid w:val="764C09B4"/>
    <w:rsid w:val="764C3824"/>
    <w:rsid w:val="764F5A52"/>
    <w:rsid w:val="766A4A0D"/>
    <w:rsid w:val="766B37EE"/>
    <w:rsid w:val="76880357"/>
    <w:rsid w:val="7692667A"/>
    <w:rsid w:val="7693567A"/>
    <w:rsid w:val="76982273"/>
    <w:rsid w:val="76985E36"/>
    <w:rsid w:val="769A7352"/>
    <w:rsid w:val="76A177B8"/>
    <w:rsid w:val="76AD2761"/>
    <w:rsid w:val="76B64E53"/>
    <w:rsid w:val="76B8001A"/>
    <w:rsid w:val="76B92C06"/>
    <w:rsid w:val="76BC314A"/>
    <w:rsid w:val="76CF131E"/>
    <w:rsid w:val="76CF29D3"/>
    <w:rsid w:val="76E33ABE"/>
    <w:rsid w:val="76EC51FD"/>
    <w:rsid w:val="76ED32B6"/>
    <w:rsid w:val="76ED606D"/>
    <w:rsid w:val="76F410B8"/>
    <w:rsid w:val="76F8393D"/>
    <w:rsid w:val="77070DB8"/>
    <w:rsid w:val="77194245"/>
    <w:rsid w:val="771B67DF"/>
    <w:rsid w:val="7728379B"/>
    <w:rsid w:val="77451578"/>
    <w:rsid w:val="77464BD7"/>
    <w:rsid w:val="77552DEC"/>
    <w:rsid w:val="775C033A"/>
    <w:rsid w:val="77692EA3"/>
    <w:rsid w:val="77825248"/>
    <w:rsid w:val="7785098B"/>
    <w:rsid w:val="77870D91"/>
    <w:rsid w:val="778A3229"/>
    <w:rsid w:val="778D28C3"/>
    <w:rsid w:val="779258CC"/>
    <w:rsid w:val="7794068F"/>
    <w:rsid w:val="779A096B"/>
    <w:rsid w:val="779B52FF"/>
    <w:rsid w:val="779F40DB"/>
    <w:rsid w:val="77A00E75"/>
    <w:rsid w:val="77A25449"/>
    <w:rsid w:val="77A80D17"/>
    <w:rsid w:val="77B841F3"/>
    <w:rsid w:val="77BE1830"/>
    <w:rsid w:val="77C078B1"/>
    <w:rsid w:val="77C759CB"/>
    <w:rsid w:val="77D11150"/>
    <w:rsid w:val="77D33940"/>
    <w:rsid w:val="77E66E3C"/>
    <w:rsid w:val="77EA17B7"/>
    <w:rsid w:val="77F3789A"/>
    <w:rsid w:val="77F865B2"/>
    <w:rsid w:val="780326B9"/>
    <w:rsid w:val="78034B6F"/>
    <w:rsid w:val="7833711D"/>
    <w:rsid w:val="78497C2E"/>
    <w:rsid w:val="784A7A67"/>
    <w:rsid w:val="7854087B"/>
    <w:rsid w:val="786A4053"/>
    <w:rsid w:val="786B3809"/>
    <w:rsid w:val="78782A0D"/>
    <w:rsid w:val="787B5060"/>
    <w:rsid w:val="787E0AC5"/>
    <w:rsid w:val="788720E7"/>
    <w:rsid w:val="78A90B04"/>
    <w:rsid w:val="78AE558D"/>
    <w:rsid w:val="78BD69DE"/>
    <w:rsid w:val="78C53485"/>
    <w:rsid w:val="78C76A01"/>
    <w:rsid w:val="78DA1003"/>
    <w:rsid w:val="78EC45D8"/>
    <w:rsid w:val="78EC6DF0"/>
    <w:rsid w:val="78F5335B"/>
    <w:rsid w:val="791843E7"/>
    <w:rsid w:val="792730E6"/>
    <w:rsid w:val="79332105"/>
    <w:rsid w:val="79395A92"/>
    <w:rsid w:val="793A736F"/>
    <w:rsid w:val="794008FB"/>
    <w:rsid w:val="794708D9"/>
    <w:rsid w:val="794B21A1"/>
    <w:rsid w:val="795821A2"/>
    <w:rsid w:val="795F12C2"/>
    <w:rsid w:val="7964574A"/>
    <w:rsid w:val="79764F6E"/>
    <w:rsid w:val="797A505D"/>
    <w:rsid w:val="79830E6C"/>
    <w:rsid w:val="798B59A2"/>
    <w:rsid w:val="79916C4B"/>
    <w:rsid w:val="799325F8"/>
    <w:rsid w:val="79941CF2"/>
    <w:rsid w:val="79973382"/>
    <w:rsid w:val="799A39D4"/>
    <w:rsid w:val="79BA66DB"/>
    <w:rsid w:val="79BA7760"/>
    <w:rsid w:val="79C1605A"/>
    <w:rsid w:val="79D33056"/>
    <w:rsid w:val="79EC0256"/>
    <w:rsid w:val="79F60153"/>
    <w:rsid w:val="79FB6E2C"/>
    <w:rsid w:val="7A000A00"/>
    <w:rsid w:val="7A211BEB"/>
    <w:rsid w:val="7A310FD7"/>
    <w:rsid w:val="7A3472DD"/>
    <w:rsid w:val="7A4529A3"/>
    <w:rsid w:val="7A4C2D60"/>
    <w:rsid w:val="7A545D27"/>
    <w:rsid w:val="7A644851"/>
    <w:rsid w:val="7A6E4BF5"/>
    <w:rsid w:val="7A805A0E"/>
    <w:rsid w:val="7A851D5D"/>
    <w:rsid w:val="7A8A2267"/>
    <w:rsid w:val="7A92511C"/>
    <w:rsid w:val="7A9F6F88"/>
    <w:rsid w:val="7AB53126"/>
    <w:rsid w:val="7AB76FE8"/>
    <w:rsid w:val="7AC708E0"/>
    <w:rsid w:val="7AD268E2"/>
    <w:rsid w:val="7ADA2F47"/>
    <w:rsid w:val="7ADC0950"/>
    <w:rsid w:val="7ADC0B33"/>
    <w:rsid w:val="7AE14C19"/>
    <w:rsid w:val="7AEA174E"/>
    <w:rsid w:val="7AEC1B31"/>
    <w:rsid w:val="7AF76F40"/>
    <w:rsid w:val="7B274176"/>
    <w:rsid w:val="7B307D4E"/>
    <w:rsid w:val="7B356407"/>
    <w:rsid w:val="7B401C79"/>
    <w:rsid w:val="7B440ED6"/>
    <w:rsid w:val="7B4611D7"/>
    <w:rsid w:val="7B4678D7"/>
    <w:rsid w:val="7B4B2A93"/>
    <w:rsid w:val="7B527515"/>
    <w:rsid w:val="7B5922B3"/>
    <w:rsid w:val="7B6569FF"/>
    <w:rsid w:val="7B712812"/>
    <w:rsid w:val="7B890A24"/>
    <w:rsid w:val="7B9642CC"/>
    <w:rsid w:val="7BAA485C"/>
    <w:rsid w:val="7BAD1591"/>
    <w:rsid w:val="7BAF117E"/>
    <w:rsid w:val="7BBF6BA0"/>
    <w:rsid w:val="7BD3716B"/>
    <w:rsid w:val="7BD77797"/>
    <w:rsid w:val="7BDC1C00"/>
    <w:rsid w:val="7BEC2711"/>
    <w:rsid w:val="7BF55850"/>
    <w:rsid w:val="7BFE117C"/>
    <w:rsid w:val="7C1054B7"/>
    <w:rsid w:val="7C143FB0"/>
    <w:rsid w:val="7C21195F"/>
    <w:rsid w:val="7C26369C"/>
    <w:rsid w:val="7C2A465C"/>
    <w:rsid w:val="7C305879"/>
    <w:rsid w:val="7C34521A"/>
    <w:rsid w:val="7C4A2BD1"/>
    <w:rsid w:val="7C576C70"/>
    <w:rsid w:val="7C5B0211"/>
    <w:rsid w:val="7C5B1DC6"/>
    <w:rsid w:val="7C686C61"/>
    <w:rsid w:val="7C6D5985"/>
    <w:rsid w:val="7C701814"/>
    <w:rsid w:val="7C77043F"/>
    <w:rsid w:val="7C77330E"/>
    <w:rsid w:val="7C8A7CDC"/>
    <w:rsid w:val="7C9E5A24"/>
    <w:rsid w:val="7CAD4798"/>
    <w:rsid w:val="7CB4006B"/>
    <w:rsid w:val="7CB93ABB"/>
    <w:rsid w:val="7CBE24B4"/>
    <w:rsid w:val="7CCD2199"/>
    <w:rsid w:val="7CCF1172"/>
    <w:rsid w:val="7CCF3A53"/>
    <w:rsid w:val="7CDA7EDA"/>
    <w:rsid w:val="7CDF626C"/>
    <w:rsid w:val="7CE656F0"/>
    <w:rsid w:val="7CE87FE8"/>
    <w:rsid w:val="7CED34FF"/>
    <w:rsid w:val="7CEE5458"/>
    <w:rsid w:val="7CF26588"/>
    <w:rsid w:val="7CF305CD"/>
    <w:rsid w:val="7CF565D7"/>
    <w:rsid w:val="7CFA3A46"/>
    <w:rsid w:val="7D0F5720"/>
    <w:rsid w:val="7D1F61D2"/>
    <w:rsid w:val="7D260EB6"/>
    <w:rsid w:val="7D2E198F"/>
    <w:rsid w:val="7D366D67"/>
    <w:rsid w:val="7D3B3737"/>
    <w:rsid w:val="7D3D73AF"/>
    <w:rsid w:val="7D420743"/>
    <w:rsid w:val="7D5B27C9"/>
    <w:rsid w:val="7D62117D"/>
    <w:rsid w:val="7D666D1A"/>
    <w:rsid w:val="7D816CE5"/>
    <w:rsid w:val="7D834A16"/>
    <w:rsid w:val="7D9D438F"/>
    <w:rsid w:val="7DA514D2"/>
    <w:rsid w:val="7DCD4EB5"/>
    <w:rsid w:val="7DF83D1A"/>
    <w:rsid w:val="7DFF415C"/>
    <w:rsid w:val="7E090313"/>
    <w:rsid w:val="7E2E4C94"/>
    <w:rsid w:val="7E31409A"/>
    <w:rsid w:val="7E3E0FEC"/>
    <w:rsid w:val="7E3E1EF2"/>
    <w:rsid w:val="7E436D4C"/>
    <w:rsid w:val="7E555BA2"/>
    <w:rsid w:val="7E5C1ABA"/>
    <w:rsid w:val="7E62165E"/>
    <w:rsid w:val="7E622778"/>
    <w:rsid w:val="7E756346"/>
    <w:rsid w:val="7E85174A"/>
    <w:rsid w:val="7E851FBF"/>
    <w:rsid w:val="7E8B4DC2"/>
    <w:rsid w:val="7EAA7C26"/>
    <w:rsid w:val="7EAF1FAA"/>
    <w:rsid w:val="7EB4653A"/>
    <w:rsid w:val="7EBB576E"/>
    <w:rsid w:val="7EC06781"/>
    <w:rsid w:val="7EC47B3F"/>
    <w:rsid w:val="7ECA4601"/>
    <w:rsid w:val="7ECF01D5"/>
    <w:rsid w:val="7ED10C1A"/>
    <w:rsid w:val="7EDC22AD"/>
    <w:rsid w:val="7EE34086"/>
    <w:rsid w:val="7EE55F89"/>
    <w:rsid w:val="7EEB5719"/>
    <w:rsid w:val="7EF215E8"/>
    <w:rsid w:val="7EF525E1"/>
    <w:rsid w:val="7EF74FC9"/>
    <w:rsid w:val="7EFB30E3"/>
    <w:rsid w:val="7F023AF5"/>
    <w:rsid w:val="7F0C2035"/>
    <w:rsid w:val="7F0F7992"/>
    <w:rsid w:val="7F1B0865"/>
    <w:rsid w:val="7F271AA3"/>
    <w:rsid w:val="7F332190"/>
    <w:rsid w:val="7F3843DF"/>
    <w:rsid w:val="7F3D68DF"/>
    <w:rsid w:val="7F453289"/>
    <w:rsid w:val="7F4705C3"/>
    <w:rsid w:val="7F484B27"/>
    <w:rsid w:val="7F5131F8"/>
    <w:rsid w:val="7F542B37"/>
    <w:rsid w:val="7F59525F"/>
    <w:rsid w:val="7F6B2248"/>
    <w:rsid w:val="7F7D7A8E"/>
    <w:rsid w:val="7F872588"/>
    <w:rsid w:val="7F8725BA"/>
    <w:rsid w:val="7F8C6A8F"/>
    <w:rsid w:val="7F980F2D"/>
    <w:rsid w:val="7F9C175D"/>
    <w:rsid w:val="7FA85877"/>
    <w:rsid w:val="7FAE6452"/>
    <w:rsid w:val="7FB431A7"/>
    <w:rsid w:val="7FC524C4"/>
    <w:rsid w:val="7FDB59A4"/>
    <w:rsid w:val="7FDC52B9"/>
    <w:rsid w:val="7FDD0795"/>
    <w:rsid w:val="7FE653BC"/>
    <w:rsid w:val="7FEA5C65"/>
    <w:rsid w:val="7FED1E7B"/>
    <w:rsid w:val="7FF25F15"/>
    <w:rsid w:val="7FF76A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3">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4">
    <w:name w:val="heading 2"/>
    <w:basedOn w:val="3"/>
    <w:next w:val="1"/>
    <w:link w:val="56"/>
    <w:qFormat/>
    <w:uiPriority w:val="0"/>
    <w:pPr>
      <w:numPr>
        <w:ilvl w:val="1"/>
      </w:numPr>
      <w:pBdr>
        <w:top w:val="none" w:color="auto" w:sz="0" w:space="0"/>
      </w:pBdr>
      <w:spacing w:before="180"/>
      <w:ind w:right="100" w:rightChars="100"/>
      <w:outlineLvl w:val="1"/>
    </w:pPr>
    <w:rPr>
      <w:sz w:val="28"/>
    </w:rPr>
  </w:style>
  <w:style w:type="paragraph" w:styleId="5">
    <w:name w:val="heading 3"/>
    <w:basedOn w:val="4"/>
    <w:next w:val="1"/>
    <w:link w:val="55"/>
    <w:qFormat/>
    <w:uiPriority w:val="0"/>
    <w:pPr>
      <w:numPr>
        <w:ilvl w:val="2"/>
      </w:numPr>
      <w:spacing w:before="120"/>
      <w:ind w:left="0"/>
      <w:outlineLvl w:val="2"/>
    </w:pPr>
    <w:rPr>
      <w:sz w:val="24"/>
    </w:rPr>
  </w:style>
  <w:style w:type="paragraph" w:styleId="6">
    <w:name w:val="heading 4"/>
    <w:basedOn w:val="5"/>
    <w:next w:val="1"/>
    <w:link w:val="54"/>
    <w:qFormat/>
    <w:uiPriority w:val="0"/>
    <w:pPr>
      <w:ind w:left="1418" w:hanging="1418"/>
      <w:outlineLvl w:val="3"/>
    </w:p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rPr>
      <w:rFonts w:eastAsia="等线"/>
    </w:rPr>
  </w:style>
  <w:style w:type="paragraph" w:customStyle="1" w:styleId="9">
    <w:name w:val="H6"/>
    <w:basedOn w:val="7"/>
    <w:next w:val="1"/>
    <w:qFormat/>
    <w:uiPriority w:val="0"/>
    <w:pPr>
      <w:ind w:left="1985" w:hanging="1985"/>
      <w:outlineLvl w:val="9"/>
    </w:pPr>
    <w:rPr>
      <w:sz w:val="20"/>
    </w:rPr>
  </w:style>
  <w:style w:type="paragraph" w:styleId="10">
    <w:name w:val="caption"/>
    <w:basedOn w:val="1"/>
    <w:next w:val="1"/>
    <w:qFormat/>
    <w:uiPriority w:val="0"/>
    <w:pPr>
      <w:overflowPunct w:val="0"/>
      <w:autoSpaceDE w:val="0"/>
      <w:autoSpaceDN w:val="0"/>
      <w:adjustRightInd w:val="0"/>
      <w:spacing w:before="120" w:after="120"/>
      <w:textAlignment w:val="baseline"/>
    </w:pPr>
    <w:rPr>
      <w:b/>
    </w:rPr>
  </w:style>
  <w:style w:type="paragraph" w:styleId="11">
    <w:name w:val="Document Map"/>
    <w:basedOn w:val="1"/>
    <w:link w:val="42"/>
    <w:semiHidden/>
    <w:unhideWhenUsed/>
    <w:qFormat/>
    <w:uiPriority w:val="99"/>
    <w:rPr>
      <w:rFonts w:ascii="宋体"/>
      <w:sz w:val="18"/>
      <w:szCs w:val="18"/>
    </w:rPr>
  </w:style>
  <w:style w:type="paragraph" w:styleId="12">
    <w:name w:val="annotation text"/>
    <w:basedOn w:val="1"/>
    <w:link w:val="43"/>
    <w:unhideWhenUsed/>
    <w:qFormat/>
    <w:uiPriority w:val="0"/>
    <w:pPr>
      <w:spacing w:before="120" w:after="120"/>
      <w:jc w:val="left"/>
    </w:pPr>
  </w:style>
  <w:style w:type="paragraph" w:styleId="13">
    <w:name w:val="List 2"/>
    <w:basedOn w:val="14"/>
    <w:semiHidden/>
    <w:qFormat/>
    <w:uiPriority w:val="0"/>
    <w:pPr>
      <w:ind w:left="851"/>
    </w:pPr>
  </w:style>
  <w:style w:type="paragraph" w:styleId="14">
    <w:name w:val="List"/>
    <w:basedOn w:val="1"/>
    <w:qFormat/>
    <w:uiPriority w:val="0"/>
    <w:pPr>
      <w:ind w:left="568" w:hanging="284"/>
    </w:pPr>
  </w:style>
  <w:style w:type="paragraph" w:styleId="15">
    <w:name w:val="toc 3"/>
    <w:basedOn w:val="1"/>
    <w:next w:val="1"/>
    <w:unhideWhenUsed/>
    <w:qFormat/>
    <w:uiPriority w:val="39"/>
    <w:pPr>
      <w:adjustRightInd w:val="0"/>
      <w:ind w:left="1282" w:leftChars="400" w:hanging="442" w:hangingChars="200"/>
    </w:pPr>
    <w:rPr>
      <w:b/>
      <w:i/>
      <w:sz w:val="20"/>
    </w:rPr>
  </w:style>
  <w:style w:type="paragraph" w:styleId="16">
    <w:name w:val="Balloon Text"/>
    <w:basedOn w:val="1"/>
    <w:link w:val="31"/>
    <w:semiHidden/>
    <w:unhideWhenUsed/>
    <w:qFormat/>
    <w:uiPriority w:val="99"/>
    <w:pPr>
      <w:spacing w:line="240" w:lineRule="auto"/>
    </w:pPr>
    <w:rPr>
      <w:sz w:val="18"/>
      <w:szCs w:val="18"/>
    </w:rPr>
  </w:style>
  <w:style w:type="paragraph" w:styleId="17">
    <w:name w:val="footer"/>
    <w:basedOn w:val="1"/>
    <w:link w:val="40"/>
    <w:unhideWhenUsed/>
    <w:qFormat/>
    <w:uiPriority w:val="0"/>
    <w:pPr>
      <w:tabs>
        <w:tab w:val="center" w:pos="4153"/>
        <w:tab w:val="right" w:pos="8306"/>
      </w:tabs>
      <w:snapToGrid w:val="0"/>
      <w:jc w:val="left"/>
    </w:pPr>
    <w:rPr>
      <w:sz w:val="18"/>
      <w:szCs w:val="18"/>
    </w:rPr>
  </w:style>
  <w:style w:type="paragraph" w:styleId="18">
    <w:name w:val="header"/>
    <w:basedOn w:val="1"/>
    <w:link w:val="39"/>
    <w:semiHidden/>
    <w:qFormat/>
    <w:uiPriority w:val="0"/>
    <w:pPr>
      <w:tabs>
        <w:tab w:val="center" w:pos="4680"/>
        <w:tab w:val="right" w:pos="9360"/>
      </w:tabs>
      <w:spacing w:line="240" w:lineRule="auto"/>
    </w:pPr>
  </w:style>
  <w:style w:type="paragraph" w:styleId="19">
    <w:name w:val="toc 1"/>
    <w:basedOn w:val="1"/>
    <w:next w:val="1"/>
    <w:unhideWhenUsed/>
    <w:qFormat/>
    <w:uiPriority w:val="39"/>
    <w:rPr>
      <w:rFonts w:eastAsiaTheme="minorEastAsia"/>
      <w:b/>
      <w:i/>
      <w:sz w:val="20"/>
    </w:rPr>
  </w:style>
  <w:style w:type="paragraph" w:styleId="20">
    <w:name w:val="table of figures"/>
    <w:basedOn w:val="1"/>
    <w:next w:val="1"/>
    <w:semiHidden/>
    <w:unhideWhenUsed/>
    <w:qFormat/>
    <w:uiPriority w:val="99"/>
    <w:pPr>
      <w:ind w:left="200" w:leftChars="200" w:hanging="200" w:hangingChars="200"/>
    </w:pPr>
  </w:style>
  <w:style w:type="paragraph" w:styleId="21">
    <w:name w:val="toc 2"/>
    <w:basedOn w:val="1"/>
    <w:next w:val="1"/>
    <w:unhideWhenUsed/>
    <w:qFormat/>
    <w:uiPriority w:val="39"/>
    <w:pPr>
      <w:ind w:left="420" w:leftChars="200"/>
    </w:pPr>
    <w:rPr>
      <w:b/>
      <w:i/>
      <w:sz w:val="20"/>
    </w:rPr>
  </w:style>
  <w:style w:type="paragraph" w:styleId="22">
    <w:name w:val="Normal (Web)"/>
    <w:basedOn w:val="1"/>
    <w:semiHidden/>
    <w:unhideWhenUsed/>
    <w:qFormat/>
    <w:uiPriority w:val="99"/>
    <w:pPr>
      <w:spacing w:beforeAutospacing="1" w:afterAutospacing="1"/>
      <w:jc w:val="left"/>
    </w:pPr>
    <w:rPr>
      <w:kern w:val="0"/>
      <w:sz w:val="24"/>
    </w:rPr>
  </w:style>
  <w:style w:type="paragraph" w:styleId="23">
    <w:name w:val="annotation subject"/>
    <w:basedOn w:val="12"/>
    <w:next w:val="12"/>
    <w:link w:val="44"/>
    <w:semiHidden/>
    <w:unhideWhenUsed/>
    <w:qFormat/>
    <w:uiPriority w:val="99"/>
    <w:rPr>
      <w:b/>
      <w:bCs/>
    </w:rPr>
  </w:style>
  <w:style w:type="table" w:styleId="25">
    <w:name w:val="Table Grid"/>
    <w:basedOn w:val="24"/>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7">
    <w:name w:val="Strong"/>
    <w:qFormat/>
    <w:uiPriority w:val="22"/>
    <w:rPr>
      <w:b/>
      <w:bCs/>
    </w:rPr>
  </w:style>
  <w:style w:type="character" w:styleId="28">
    <w:name w:val="Emphasis"/>
    <w:basedOn w:val="26"/>
    <w:qFormat/>
    <w:uiPriority w:val="20"/>
    <w:rPr>
      <w:i/>
    </w:rPr>
  </w:style>
  <w:style w:type="character" w:styleId="29">
    <w:name w:val="Hyperlink"/>
    <w:basedOn w:val="26"/>
    <w:qFormat/>
    <w:uiPriority w:val="99"/>
    <w:rPr>
      <w:color w:val="0000FF"/>
      <w:u w:val="single"/>
    </w:rPr>
  </w:style>
  <w:style w:type="character" w:styleId="30">
    <w:name w:val="annotation reference"/>
    <w:basedOn w:val="26"/>
    <w:unhideWhenUsed/>
    <w:qFormat/>
    <w:uiPriority w:val="0"/>
    <w:rPr>
      <w:sz w:val="16"/>
      <w:szCs w:val="16"/>
    </w:rPr>
  </w:style>
  <w:style w:type="character" w:customStyle="1" w:styleId="31">
    <w:name w:val="批注框文本 Char"/>
    <w:basedOn w:val="26"/>
    <w:link w:val="16"/>
    <w:semiHidden/>
    <w:qFormat/>
    <w:uiPriority w:val="99"/>
    <w:rPr>
      <w:kern w:val="2"/>
      <w:sz w:val="18"/>
      <w:szCs w:val="18"/>
    </w:rPr>
  </w:style>
  <w:style w:type="paragraph" w:customStyle="1" w:styleId="32">
    <w:name w:val="YJ-Proposal"/>
    <w:basedOn w:val="1"/>
    <w:qFormat/>
    <w:uiPriority w:val="0"/>
    <w:pPr>
      <w:numPr>
        <w:ilvl w:val="0"/>
        <w:numId w:val="2"/>
      </w:numPr>
    </w:pPr>
    <w:rPr>
      <w:rFonts w:eastAsiaTheme="minorEastAsia"/>
      <w:b/>
      <w:bCs/>
      <w:i/>
      <w:iCs/>
      <w:sz w:val="20"/>
      <w:lang w:val="en-GB" w:eastAsia="en-US"/>
    </w:rPr>
  </w:style>
  <w:style w:type="paragraph" w:customStyle="1" w:styleId="33">
    <w:name w:val="YJ-Observation"/>
    <w:basedOn w:val="32"/>
    <w:qFormat/>
    <w:uiPriority w:val="0"/>
    <w:pPr>
      <w:numPr>
        <w:ilvl w:val="0"/>
        <w:numId w:val="3"/>
      </w:numPr>
      <w:tabs>
        <w:tab w:val="left" w:pos="420"/>
      </w:tabs>
    </w:pPr>
  </w:style>
  <w:style w:type="paragraph" w:customStyle="1" w:styleId="34">
    <w:name w:val="References"/>
    <w:basedOn w:val="1"/>
    <w:qFormat/>
    <w:uiPriority w:val="0"/>
    <w:pPr>
      <w:numPr>
        <w:ilvl w:val="0"/>
        <w:numId w:val="4"/>
      </w:numPr>
      <w:spacing w:after="60"/>
    </w:pPr>
    <w:rPr>
      <w:szCs w:val="16"/>
    </w:rPr>
  </w:style>
  <w:style w:type="paragraph" w:styleId="35">
    <w:name w:val="List Paragraph"/>
    <w:basedOn w:val="1"/>
    <w:link w:val="69"/>
    <w:qFormat/>
    <w:uiPriority w:val="34"/>
    <w:pPr>
      <w:spacing w:beforeLines="0" w:line="240" w:lineRule="auto"/>
      <w:ind w:left="720"/>
      <w:contextualSpacing/>
    </w:pPr>
    <w:rPr>
      <w:rFonts w:eastAsia="Times New Roman"/>
      <w:sz w:val="24"/>
      <w:szCs w:val="24"/>
    </w:rPr>
  </w:style>
  <w:style w:type="paragraph" w:customStyle="1" w:styleId="36">
    <w:name w:val="sub-proposal"/>
    <w:basedOn w:val="32"/>
    <w:next w:val="1"/>
    <w:qFormat/>
    <w:uiPriority w:val="0"/>
    <w:pPr>
      <w:numPr>
        <w:numId w:val="5"/>
      </w:numPr>
      <w:tabs>
        <w:tab w:val="left" w:pos="807"/>
      </w:tabs>
    </w:pPr>
  </w:style>
  <w:style w:type="paragraph" w:customStyle="1" w:styleId="37">
    <w:name w:val="样式1"/>
    <w:basedOn w:val="1"/>
    <w:qFormat/>
    <w:uiPriority w:val="0"/>
  </w:style>
  <w:style w:type="paragraph" w:customStyle="1" w:styleId="38">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9">
    <w:name w:val="页眉 Char"/>
    <w:basedOn w:val="26"/>
    <w:link w:val="18"/>
    <w:semiHidden/>
    <w:qFormat/>
    <w:uiPriority w:val="0"/>
    <w:rPr>
      <w:rFonts w:eastAsia="宋体"/>
      <w:kern w:val="2"/>
      <w:sz w:val="21"/>
    </w:rPr>
  </w:style>
  <w:style w:type="character" w:customStyle="1" w:styleId="40">
    <w:name w:val="页脚 Char"/>
    <w:basedOn w:val="26"/>
    <w:link w:val="17"/>
    <w:qFormat/>
    <w:uiPriority w:val="99"/>
    <w:rPr>
      <w:rFonts w:eastAsia="宋体"/>
      <w:kern w:val="2"/>
      <w:sz w:val="18"/>
      <w:szCs w:val="18"/>
    </w:rPr>
  </w:style>
  <w:style w:type="paragraph" w:customStyle="1" w:styleId="41">
    <w:name w:val="YJ--正文"/>
    <w:basedOn w:val="1"/>
    <w:qFormat/>
    <w:uiPriority w:val="0"/>
    <w:pPr>
      <w:spacing w:before="50" w:after="50" w:line="240" w:lineRule="auto"/>
    </w:pPr>
    <w:rPr>
      <w:rFonts w:eastAsia="Times New Roman" w:cs="宋体"/>
      <w:sz w:val="20"/>
    </w:rPr>
  </w:style>
  <w:style w:type="character" w:customStyle="1" w:styleId="42">
    <w:name w:val="文档结构图 Char"/>
    <w:basedOn w:val="26"/>
    <w:link w:val="11"/>
    <w:semiHidden/>
    <w:qFormat/>
    <w:uiPriority w:val="99"/>
    <w:rPr>
      <w:rFonts w:ascii="宋体"/>
      <w:kern w:val="2"/>
      <w:sz w:val="18"/>
      <w:szCs w:val="18"/>
    </w:rPr>
  </w:style>
  <w:style w:type="character" w:customStyle="1" w:styleId="43">
    <w:name w:val="批注文字 Char"/>
    <w:basedOn w:val="26"/>
    <w:link w:val="12"/>
    <w:qFormat/>
    <w:uiPriority w:val="0"/>
    <w:rPr>
      <w:rFonts w:eastAsia="宋体"/>
      <w:kern w:val="2"/>
      <w:sz w:val="21"/>
    </w:rPr>
  </w:style>
  <w:style w:type="character" w:customStyle="1" w:styleId="44">
    <w:name w:val="批注主题 Char"/>
    <w:basedOn w:val="43"/>
    <w:link w:val="23"/>
    <w:qFormat/>
    <w:uiPriority w:val="0"/>
    <w:rPr>
      <w:rFonts w:eastAsia="宋体"/>
      <w:kern w:val="2"/>
      <w:sz w:val="21"/>
    </w:rPr>
  </w:style>
  <w:style w:type="paragraph" w:customStyle="1" w:styleId="45">
    <w:name w:val="subullet"/>
    <w:basedOn w:val="1"/>
    <w:qFormat/>
    <w:uiPriority w:val="0"/>
    <w:pPr>
      <w:numPr>
        <w:ilvl w:val="1"/>
        <w:numId w:val="2"/>
      </w:numPr>
      <w:spacing w:before="50" w:after="50"/>
    </w:pPr>
    <w:rPr>
      <w:rFonts w:hint="eastAsia" w:eastAsiaTheme="minorEastAsia"/>
      <w:b/>
      <w:bCs/>
      <w:i/>
      <w:iCs/>
      <w:sz w:val="20"/>
    </w:rPr>
  </w:style>
  <w:style w:type="paragraph" w:customStyle="1" w:styleId="46">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7">
    <w:name w:val="3rd level proposal"/>
    <w:basedOn w:val="36"/>
    <w:next w:val="1"/>
    <w:qFormat/>
    <w:uiPriority w:val="0"/>
    <w:pPr>
      <w:numPr>
        <w:ilvl w:val="0"/>
        <w:numId w:val="6"/>
      </w:numPr>
      <w:ind w:left="1282" w:leftChars="400" w:hanging="442" w:hangingChars="200"/>
      <w:jc w:val="left"/>
    </w:pPr>
  </w:style>
  <w:style w:type="paragraph" w:customStyle="1" w:styleId="48">
    <w:name w:val="B1"/>
    <w:basedOn w:val="14"/>
    <w:link w:val="62"/>
    <w:qFormat/>
    <w:uiPriority w:val="0"/>
  </w:style>
  <w:style w:type="paragraph" w:customStyle="1" w:styleId="49">
    <w:name w:val="B3"/>
    <w:basedOn w:val="1"/>
    <w:qFormat/>
    <w:uiPriority w:val="0"/>
    <w:pPr>
      <w:ind w:left="1135" w:hanging="284"/>
    </w:pPr>
  </w:style>
  <w:style w:type="character" w:styleId="50">
    <w:name w:val="Placeholder Text"/>
    <w:basedOn w:val="26"/>
    <w:semiHidden/>
    <w:qFormat/>
    <w:uiPriority w:val="99"/>
    <w:rPr>
      <w:color w:val="808080"/>
    </w:rPr>
  </w:style>
  <w:style w:type="paragraph" w:customStyle="1" w:styleId="51">
    <w:name w:val="EQ"/>
    <w:basedOn w:val="1"/>
    <w:next w:val="1"/>
    <w:qFormat/>
    <w:uiPriority w:val="0"/>
    <w:pPr>
      <w:keepLines/>
      <w:tabs>
        <w:tab w:val="center" w:pos="4536"/>
        <w:tab w:val="right" w:pos="9072"/>
      </w:tabs>
    </w:pPr>
  </w:style>
  <w:style w:type="paragraph" w:customStyle="1" w:styleId="52">
    <w:name w:val="B2"/>
    <w:basedOn w:val="13"/>
    <w:qFormat/>
    <w:uiPriority w:val="0"/>
    <w:pPr>
      <w:ind w:left="851" w:hanging="284"/>
    </w:pPr>
    <w:rPr>
      <w:lang w:val="zh-CN"/>
    </w:rPr>
  </w:style>
  <w:style w:type="paragraph" w:customStyle="1" w:styleId="53">
    <w:name w:val="B4"/>
    <w:basedOn w:val="1"/>
    <w:qFormat/>
    <w:uiPriority w:val="0"/>
    <w:pPr>
      <w:ind w:left="1418" w:hanging="284"/>
    </w:pPr>
  </w:style>
  <w:style w:type="character" w:customStyle="1" w:styleId="54">
    <w:name w:val="标题 4 Char"/>
    <w:basedOn w:val="26"/>
    <w:link w:val="6"/>
    <w:qFormat/>
    <w:uiPriority w:val="0"/>
    <w:rPr>
      <w:rFonts w:ascii="Arial" w:hAnsi="Arial" w:eastAsia="MS Mincho"/>
      <w:kern w:val="2"/>
      <w:sz w:val="24"/>
    </w:rPr>
  </w:style>
  <w:style w:type="character" w:customStyle="1" w:styleId="55">
    <w:name w:val="标题 3 Char"/>
    <w:basedOn w:val="26"/>
    <w:link w:val="5"/>
    <w:qFormat/>
    <w:uiPriority w:val="0"/>
    <w:rPr>
      <w:rFonts w:ascii="Arial" w:hAnsi="Arial" w:eastAsia="MS Mincho"/>
      <w:kern w:val="2"/>
      <w:sz w:val="24"/>
    </w:rPr>
  </w:style>
  <w:style w:type="character" w:customStyle="1" w:styleId="56">
    <w:name w:val="标题 2 Char"/>
    <w:basedOn w:val="26"/>
    <w:link w:val="4"/>
    <w:qFormat/>
    <w:uiPriority w:val="0"/>
    <w:rPr>
      <w:rFonts w:ascii="Arial" w:hAnsi="Arial" w:eastAsia="MS Mincho"/>
      <w:kern w:val="2"/>
      <w:sz w:val="28"/>
    </w:rPr>
  </w:style>
  <w:style w:type="paragraph" w:customStyle="1" w:styleId="57">
    <w:name w:val="TH"/>
    <w:basedOn w:val="1"/>
    <w:qFormat/>
    <w:uiPriority w:val="0"/>
    <w:pPr>
      <w:keepNext/>
      <w:keepLines/>
      <w:spacing w:before="60"/>
      <w:jc w:val="center"/>
    </w:pPr>
    <w:rPr>
      <w:rFonts w:ascii="Arial" w:hAnsi="Arial"/>
      <w:b/>
    </w:rPr>
  </w:style>
  <w:style w:type="paragraph" w:customStyle="1" w:styleId="58">
    <w:name w:val="TAC"/>
    <w:basedOn w:val="59"/>
    <w:link w:val="67"/>
    <w:qFormat/>
    <w:uiPriority w:val="0"/>
    <w:pPr>
      <w:jc w:val="center"/>
    </w:pPr>
  </w:style>
  <w:style w:type="paragraph" w:customStyle="1" w:styleId="59">
    <w:name w:val="TAL"/>
    <w:basedOn w:val="1"/>
    <w:link w:val="68"/>
    <w:qFormat/>
    <w:uiPriority w:val="0"/>
    <w:pPr>
      <w:keepNext/>
      <w:keepLines/>
    </w:pPr>
    <w:rPr>
      <w:rFonts w:ascii="Arial" w:hAnsi="Arial"/>
      <w:sz w:val="18"/>
    </w:rPr>
  </w:style>
  <w:style w:type="paragraph" w:customStyle="1" w:styleId="60">
    <w:name w:val="B5"/>
    <w:basedOn w:val="1"/>
    <w:qFormat/>
    <w:uiPriority w:val="0"/>
    <w:pPr>
      <w:ind w:left="1702" w:hanging="284"/>
    </w:pPr>
  </w:style>
  <w:style w:type="character" w:customStyle="1" w:styleId="61">
    <w:name w:val="首标题"/>
    <w:qFormat/>
    <w:uiPriority w:val="0"/>
    <w:rPr>
      <w:rFonts w:ascii="Arial" w:hAnsi="Arial" w:eastAsia="宋体"/>
      <w:sz w:val="24"/>
    </w:rPr>
  </w:style>
  <w:style w:type="character" w:customStyle="1" w:styleId="62">
    <w:name w:val="B1 Char1"/>
    <w:link w:val="48"/>
    <w:qFormat/>
    <w:uiPriority w:val="0"/>
    <w:rPr>
      <w:kern w:val="2"/>
      <w:sz w:val="21"/>
    </w:rPr>
  </w:style>
  <w:style w:type="character" w:customStyle="1" w:styleId="63">
    <w:name w:val="NO Char"/>
    <w:link w:val="64"/>
    <w:qFormat/>
    <w:uiPriority w:val="0"/>
    <w:rPr>
      <w:lang w:val="en-GB" w:eastAsia="en-US"/>
    </w:rPr>
  </w:style>
  <w:style w:type="paragraph" w:customStyle="1" w:styleId="64">
    <w:name w:val="NO"/>
    <w:basedOn w:val="1"/>
    <w:link w:val="63"/>
    <w:qFormat/>
    <w:uiPriority w:val="0"/>
    <w:pPr>
      <w:keepLines/>
      <w:spacing w:beforeLines="0" w:afterLines="0" w:line="240" w:lineRule="auto"/>
      <w:ind w:left="1135" w:hanging="851"/>
      <w:jc w:val="left"/>
    </w:pPr>
    <w:rPr>
      <w:kern w:val="0"/>
      <w:sz w:val="20"/>
      <w:lang w:val="en-GB" w:eastAsia="en-US"/>
    </w:rPr>
  </w:style>
  <w:style w:type="character" w:customStyle="1" w:styleId="65">
    <w:name w:val="TAH Car"/>
    <w:link w:val="66"/>
    <w:qFormat/>
    <w:locked/>
    <w:uiPriority w:val="0"/>
    <w:rPr>
      <w:rFonts w:ascii="Arial" w:hAnsi="Arial"/>
      <w:b/>
      <w:sz w:val="18"/>
      <w:lang w:val="en-GB" w:eastAsia="en-US"/>
    </w:rPr>
  </w:style>
  <w:style w:type="paragraph" w:customStyle="1" w:styleId="66">
    <w:name w:val="TAH"/>
    <w:basedOn w:val="58"/>
    <w:link w:val="65"/>
    <w:qFormat/>
    <w:uiPriority w:val="0"/>
    <w:pPr>
      <w:spacing w:beforeLines="0" w:afterLines="0" w:line="240" w:lineRule="auto"/>
    </w:pPr>
    <w:rPr>
      <w:b/>
      <w:kern w:val="0"/>
      <w:lang w:val="en-GB" w:eastAsia="en-US"/>
    </w:rPr>
  </w:style>
  <w:style w:type="character" w:customStyle="1" w:styleId="67">
    <w:name w:val="TAC Char"/>
    <w:link w:val="58"/>
    <w:qFormat/>
    <w:locked/>
    <w:uiPriority w:val="0"/>
    <w:rPr>
      <w:rFonts w:ascii="Arial" w:hAnsi="Arial"/>
      <w:kern w:val="2"/>
      <w:sz w:val="18"/>
    </w:rPr>
  </w:style>
  <w:style w:type="character" w:customStyle="1" w:styleId="68">
    <w:name w:val="TAL Car"/>
    <w:link w:val="59"/>
    <w:qFormat/>
    <w:uiPriority w:val="0"/>
    <w:rPr>
      <w:rFonts w:ascii="Arial" w:hAnsi="Arial"/>
      <w:kern w:val="2"/>
      <w:sz w:val="18"/>
    </w:rPr>
  </w:style>
  <w:style w:type="character" w:customStyle="1" w:styleId="69">
    <w:name w:val="列出段落 Char"/>
    <w:link w:val="35"/>
    <w:qFormat/>
    <w:locked/>
    <w:uiPriority w:val="34"/>
    <w:rPr>
      <w:rFonts w:eastAsia="Times New Roman"/>
      <w:kern w:val="2"/>
      <w:sz w:val="24"/>
      <w:szCs w:val="24"/>
    </w:rPr>
  </w:style>
  <w:style w:type="paragraph" w:customStyle="1" w:styleId="70">
    <w:name w:val="Revision"/>
    <w:hidden/>
    <w:semiHidden/>
    <w:qFormat/>
    <w:uiPriority w:val="99"/>
    <w:rPr>
      <w:rFonts w:ascii="Times New Roman" w:hAnsi="Times New Roman" w:eastAsia="宋体" w:cs="Times New Roman"/>
      <w:kern w:val="2"/>
      <w:sz w:val="21"/>
      <w:lang w:val="en-US" w:eastAsia="zh-CN" w:bidi="ar-SA"/>
    </w:rPr>
  </w:style>
  <w:style w:type="paragraph" w:customStyle="1" w:styleId="71">
    <w:name w:val="TAN"/>
    <w:basedOn w:val="59"/>
    <w:qFormat/>
    <w:uiPriority w:val="0"/>
    <w:pPr>
      <w:ind w:left="851" w:hanging="851"/>
    </w:pPr>
  </w:style>
  <w:style w:type="character" w:customStyle="1" w:styleId="72">
    <w:name w:val="font4"/>
    <w:basedOn w:val="26"/>
    <w:qFormat/>
    <w:uiPriority w:val="0"/>
  </w:style>
  <w:style w:type="paragraph" w:customStyle="1" w:styleId="73">
    <w:name w:val="样式 页眉"/>
    <w:basedOn w:val="18"/>
    <w:qFormat/>
    <w:uiPriority w:val="0"/>
    <w:rPr>
      <w:rFonts w:eastAsia="Arial"/>
      <w:bCs/>
      <w:sz w:val="22"/>
    </w:rPr>
  </w:style>
  <w:style w:type="paragraph" w:customStyle="1" w:styleId="74">
    <w:name w:val="CR Cover Page"/>
    <w:qFormat/>
    <w:uiPriority w:val="0"/>
    <w:pPr>
      <w:spacing w:after="120"/>
    </w:pPr>
    <w:rPr>
      <w:rFonts w:ascii="Arial" w:hAnsi="Arial" w:eastAsia="Times New Roman" w:cs="Times New Roman"/>
      <w:lang w:val="en-GB" w:eastAsia="en-US" w:bidi="ar-SA"/>
    </w:rPr>
  </w:style>
  <w:style w:type="paragraph" w:customStyle="1" w:styleId="75">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numbering" Target="numbering.xml"/><Relationship Id="rId17" Type="http://schemas.openxmlformats.org/officeDocument/2006/relationships/image" Target="media/image6.png"/><Relationship Id="rId16" Type="http://schemas.openxmlformats.org/officeDocument/2006/relationships/image" Target="media/image5.png"/><Relationship Id="rId15" Type="http://schemas.openxmlformats.org/officeDocument/2006/relationships/image" Target="media/image4.png"/><Relationship Id="rId14" Type="http://schemas.openxmlformats.org/officeDocument/2006/relationships/image" Target="media/image3.png"/><Relationship Id="rId13" Type="http://schemas.openxmlformats.org/officeDocument/2006/relationships/image" Target="media/image2.emf"/><Relationship Id="rId12" Type="http://schemas.openxmlformats.org/officeDocument/2006/relationships/image" Target="media/image1.emf"/><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4</Pages>
  <Words>1113</Words>
  <Characters>6348</Characters>
  <Lines>52</Lines>
  <Paragraphs>14</Paragraphs>
  <TotalTime>2</TotalTime>
  <ScaleCrop>false</ScaleCrop>
  <LinksUpToDate>false</LinksUpToDate>
  <CharactersWithSpaces>7447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ZTE_Wubin</cp:lastModifiedBy>
  <dcterms:modified xsi:type="dcterms:W3CDTF">2025-11-07T09:32:35Z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AF1F3577D5384F0DB2A0A25E3A3063ED</vt:lpwstr>
  </property>
</Properties>
</file>